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CD76E">
      <w:pPr>
        <w:pStyle w:val="2"/>
      </w:pPr>
      <w:r>
        <w:t>Supporting Information</w:t>
      </w:r>
    </w:p>
    <w:p w14:paraId="41792B25">
      <w:r>
        <w:t>The impact of tris(pentafluorophenyl)borane hole transport layer doping on interfacial charge extraction and recombination</w:t>
      </w:r>
    </w:p>
    <w:p w14:paraId="26F64FCA"/>
    <w:p w14:paraId="71148F4F">
      <w:pPr>
        <w:pStyle w:val="17"/>
      </w:pPr>
      <w:r>
        <w:rPr>
          <w:rFonts w:hint="default"/>
          <w:lang w:val="en-US"/>
        </w:rPr>
        <w:t>Konstantinos Bidinakis</w:t>
      </w:r>
      <w:r>
        <w:rPr>
          <w:vertAlign w:val="superscript"/>
        </w:rPr>
        <w:t>1</w:t>
      </w:r>
      <w:r>
        <w:rPr>
          <w:rFonts w:hint="default"/>
          <w:vertAlign w:val="superscript"/>
          <w:lang w:val="en-US"/>
        </w:rPr>
        <w:t xml:space="preserve"> </w:t>
      </w:r>
      <w:r>
        <w:rPr>
          <w:rFonts w:hint="default"/>
          <w:lang w:val="en-US"/>
        </w:rPr>
        <w:t>and</w:t>
      </w:r>
      <w:r>
        <w:t xml:space="preserve"> </w:t>
      </w:r>
      <w:r>
        <w:rPr>
          <w:rFonts w:hint="default"/>
          <w:lang w:val="en-US"/>
        </w:rPr>
        <w:t>Stefan A.L. Weber*</w:t>
      </w:r>
      <w:r>
        <w:rPr>
          <w:rFonts w:hint="default"/>
          <w:vertAlign w:val="superscript"/>
          <w:lang w:val="en-US"/>
        </w:rPr>
        <w:t>1,</w:t>
      </w:r>
      <w:r>
        <w:rPr>
          <w:vertAlign w:val="superscript"/>
        </w:rPr>
        <w:t>2</w:t>
      </w:r>
    </w:p>
    <w:p w14:paraId="35BF1354">
      <w:pPr>
        <w:pStyle w:val="17"/>
      </w:pPr>
      <w:r>
        <w:t xml:space="preserve">Address: </w:t>
      </w:r>
      <w:r>
        <w:rPr>
          <w:vertAlign w:val="superscript"/>
        </w:rPr>
        <w:t>1</w:t>
      </w:r>
      <w:r>
        <w:t>Max Planck Institute for Polymer Research, Ackermannweg 10, 55128 Mainz, Germany</w:t>
      </w:r>
    </w:p>
    <w:p w14:paraId="0B3AA55F">
      <w:pPr>
        <w:pStyle w:val="17"/>
      </w:pPr>
      <w:r>
        <w:rPr>
          <w:vertAlign w:val="superscript"/>
        </w:rPr>
        <w:t>2</w:t>
      </w:r>
      <w:r>
        <w:t>Institute for Photovoltaics,</w:t>
      </w:r>
      <w:r>
        <w:rPr>
          <w:rFonts w:hint="default"/>
          <w:lang w:val="en-US"/>
        </w:rPr>
        <w:t xml:space="preserve"> University of Stuttgart,</w:t>
      </w:r>
      <w:r>
        <w:t xml:space="preserve"> Pfaffenwaldring 47, 70569 Stuttgart, Germany</w:t>
      </w:r>
    </w:p>
    <w:p w14:paraId="14448039">
      <w:pPr>
        <w:pStyle w:val="17"/>
      </w:pPr>
      <w:r>
        <w:t xml:space="preserve">Email: </w:t>
      </w:r>
      <w:r>
        <w:rPr>
          <w:rFonts w:hint="default"/>
          <w:lang w:val="en-US"/>
        </w:rPr>
        <w:t>Stefan A.L. Weber</w:t>
      </w:r>
      <w:r>
        <w:t xml:space="preserve"> - stefan.weber@ipv.uni-stuttgart.de</w:t>
      </w:r>
    </w:p>
    <w:p w14:paraId="4C1FA55E">
      <w:pPr>
        <w:pStyle w:val="17"/>
      </w:pPr>
    </w:p>
    <w:p w14:paraId="29510F09">
      <w:pPr>
        <w:pStyle w:val="17"/>
      </w:pPr>
      <w:r>
        <w:t>* Corresponding author</w:t>
      </w:r>
    </w:p>
    <w:p w14:paraId="6A2EBE36">
      <w:pPr>
        <w:pStyle w:val="17"/>
      </w:pPr>
    </w:p>
    <w:p w14:paraId="7F681548">
      <w:pPr>
        <w:pStyle w:val="17"/>
      </w:pPr>
    </w:p>
    <w:p w14:paraId="4BDC2D29">
      <w:pPr>
        <w:pStyle w:val="17"/>
      </w:pPr>
    </w:p>
    <w:p w14:paraId="5A2E1DF9">
      <w:pPr>
        <w:pStyle w:val="17"/>
      </w:pPr>
    </w:p>
    <w:p w14:paraId="2657C8FC">
      <w:pPr>
        <w:pStyle w:val="17"/>
      </w:pPr>
    </w:p>
    <w:p w14:paraId="47046AEA">
      <w:pPr>
        <w:pStyle w:val="17"/>
      </w:pPr>
    </w:p>
    <w:p w14:paraId="7968A98D">
      <w:pPr>
        <w:pStyle w:val="17"/>
      </w:pPr>
    </w:p>
    <w:p w14:paraId="1FFB96C3">
      <w:pPr>
        <w:pStyle w:val="17"/>
      </w:pPr>
    </w:p>
    <w:p w14:paraId="03FA57CC">
      <w:pPr>
        <w:pStyle w:val="17"/>
      </w:pPr>
    </w:p>
    <w:p w14:paraId="066415D0">
      <w:pPr>
        <w:pStyle w:val="17"/>
      </w:pPr>
    </w:p>
    <w:p w14:paraId="49F0106E">
      <w:pPr>
        <w:pStyle w:val="17"/>
      </w:pPr>
    </w:p>
    <w:p w14:paraId="40EE922A">
      <w:pPr>
        <w:pStyle w:val="17"/>
      </w:pPr>
    </w:p>
    <w:p w14:paraId="5E3E38FF">
      <w:pPr>
        <w:pStyle w:val="17"/>
      </w:pPr>
    </w:p>
    <w:p w14:paraId="77D8AB6B">
      <w:pPr>
        <w:rPr>
          <w:u w:val="single"/>
          <w:lang w:eastAsia="zh-CN"/>
        </w:rPr>
      </w:pPr>
      <w:r>
        <w:rPr>
          <w:rFonts w:hint="default"/>
          <w:u w:val="single"/>
          <w:lang w:val="en-US" w:eastAsia="zh-CN"/>
        </w:rPr>
        <w:t xml:space="preserve">Supporting File </w:t>
      </w:r>
      <w:r>
        <w:rPr>
          <w:u w:val="single"/>
          <w:lang w:eastAsia="zh-CN"/>
        </w:rPr>
        <w:t>1</w:t>
      </w:r>
      <w:r>
        <w:rPr>
          <w:rFonts w:hint="default"/>
          <w:u w:val="single"/>
          <w:lang w:val="en-US" w:eastAsia="zh-CN"/>
        </w:rPr>
        <w:t>:</w:t>
      </w:r>
      <w:r>
        <w:rPr>
          <w:u w:val="single"/>
          <w:lang w:eastAsia="zh-CN"/>
        </w:rPr>
        <w:t xml:space="preserve"> Energy band diagram of a perovskite solar cell (PSC)</w:t>
      </w:r>
    </w:p>
    <w:p w14:paraId="4E3514E4">
      <w:pPr>
        <w:rPr>
          <w:lang w:eastAsia="zh-CN"/>
        </w:rPr>
      </w:pPr>
      <w:r>
        <w:drawing>
          <wp:anchor distT="0" distB="0" distL="114300" distR="114300" simplePos="0" relativeHeight="251664384" behindDoc="0" locked="0" layoutInCell="1" allowOverlap="1">
            <wp:simplePos x="0" y="0"/>
            <wp:positionH relativeFrom="column">
              <wp:posOffset>-58420</wp:posOffset>
            </wp:positionH>
            <wp:positionV relativeFrom="paragraph">
              <wp:posOffset>237490</wp:posOffset>
            </wp:positionV>
            <wp:extent cx="5753100" cy="1867535"/>
            <wp:effectExtent l="0" t="0" r="0" b="1841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7"/>
                    <a:stretch>
                      <a:fillRect/>
                    </a:stretch>
                  </pic:blipFill>
                  <pic:spPr>
                    <a:xfrm>
                      <a:off x="0" y="0"/>
                      <a:ext cx="5753100" cy="1867535"/>
                    </a:xfrm>
                    <a:prstGeom prst="rect">
                      <a:avLst/>
                    </a:prstGeom>
                    <a:noFill/>
                    <a:ln>
                      <a:noFill/>
                    </a:ln>
                  </pic:spPr>
                </pic:pic>
              </a:graphicData>
            </a:graphic>
          </wp:anchor>
        </w:drawing>
      </w:r>
      <w:r>
        <w:rPr>
          <w:lang w:eastAsia="zh-CN"/>
        </w:rPr>
        <w:t xml:space="preserve"> </w:t>
      </w:r>
    </w:p>
    <w:p w14:paraId="656F53C1">
      <w:pPr>
        <w:rPr>
          <w:lang w:eastAsia="zh-CN"/>
        </w:rPr>
      </w:pPr>
    </w:p>
    <w:p w14:paraId="4D239A13">
      <w:pPr>
        <w:rPr>
          <w:lang w:eastAsia="zh-CN"/>
        </w:rPr>
      </w:pPr>
    </w:p>
    <w:p w14:paraId="4018F346">
      <w:pPr>
        <w:rPr>
          <w:lang w:eastAsia="zh-CN"/>
        </w:rPr>
      </w:pPr>
    </w:p>
    <w:p w14:paraId="45FE2E26">
      <w:pPr>
        <w:rPr>
          <w:lang w:eastAsia="zh-CN"/>
        </w:rPr>
      </w:pPr>
    </w:p>
    <w:p w14:paraId="1DAE2187">
      <w:pPr>
        <w:rPr>
          <w:lang w:eastAsia="zh-CN"/>
        </w:rPr>
      </w:pPr>
    </w:p>
    <w:p w14:paraId="68DB8C89">
      <w:pPr>
        <w:rPr>
          <w:lang w:eastAsia="zh-CN"/>
        </w:rPr>
      </w:pPr>
    </w:p>
    <w:p w14:paraId="7AED06A6">
      <w:r>
        <w:rPr>
          <w:rFonts w:hint="eastAsia"/>
          <w:b/>
          <w:bCs/>
          <w:lang w:eastAsia="zh-CN"/>
        </w:rPr>
        <w:t>F</w:t>
      </w:r>
      <w:r>
        <w:rPr>
          <w:rFonts w:hint="default"/>
          <w:b/>
          <w:bCs/>
          <w:lang w:val="en-US" w:eastAsia="zh-CN"/>
        </w:rPr>
        <w:t>igure</w:t>
      </w:r>
      <w:r>
        <w:rPr>
          <w:b/>
          <w:bCs/>
          <w:lang w:eastAsia="zh-CN"/>
        </w:rPr>
        <w:t xml:space="preserve"> S1</w:t>
      </w:r>
      <w:r>
        <w:rPr>
          <w:lang w:eastAsia="zh-CN"/>
        </w:rPr>
        <w:t>. A simplified energy diagram of a p-i-n junction of a PSC with its layers under electrical contact just before we turn the illumination on. A contact potential difference (CPD) profile line measured with Kelvin probe force microscopy (KPFM) expresses the mirror image of the shifted vacuum level with respect to the horizontal axis. With this measurement, we can identify the built-in fields at the junctions of the perovskite. In principle, the resulting profile reflects the relative work functions of the different materials of the device’s layers, which give rise to built-in fields at the interfaces. After illumination is on, the photo-generated charges move under the influence of these built-in fields.</w:t>
      </w:r>
    </w:p>
    <w:p w14:paraId="722511F3">
      <w:r>
        <w:br w:type="page"/>
      </w:r>
    </w:p>
    <w:p w14:paraId="132E9D07">
      <w:pPr>
        <w:rPr>
          <w:lang w:eastAsia="zh-CN"/>
        </w:rPr>
      </w:pPr>
      <w:r>
        <w:rPr>
          <w:rFonts w:hint="default"/>
          <w:u w:val="single"/>
          <w:lang w:val="en-US" w:eastAsia="zh-CN"/>
        </w:rPr>
        <w:t xml:space="preserve">Supporting File </w:t>
      </w:r>
      <w:r>
        <w:rPr>
          <w:u w:val="single"/>
          <w:lang w:eastAsia="zh-CN"/>
        </w:rPr>
        <w:t>2</w:t>
      </w:r>
      <w:r>
        <w:rPr>
          <w:rFonts w:hint="default"/>
          <w:u w:val="single"/>
          <w:lang w:val="en-US" w:eastAsia="zh-CN"/>
        </w:rPr>
        <w:t>:</w:t>
      </w:r>
      <w:r>
        <w:rPr>
          <w:u w:val="single"/>
          <w:lang w:eastAsia="zh-CN"/>
        </w:rPr>
        <w:t xml:space="preserve"> Measurement protocol for devices under bias and under illumination</w:t>
      </w:r>
    </w:p>
    <w:p w14:paraId="7E4AD1DB">
      <w:pPr>
        <w:rPr>
          <w:lang w:eastAsia="zh-CN"/>
        </w:rPr>
      </w:pPr>
      <w:r>
        <w:rPr>
          <w:lang w:eastAsia="zh-CN"/>
        </w:rPr>
        <w:t>In order to evaluate the performance of our solar cells we demonstrate a simple representation of the solar cell as a p-i-n junction, with a depletion and an accumulation layer at each side of the perovskite active layer (F</w:t>
      </w:r>
      <w:r>
        <w:rPr>
          <w:rFonts w:hint="default"/>
          <w:lang w:val="en-US" w:eastAsia="zh-CN"/>
        </w:rPr>
        <w:t>igure</w:t>
      </w:r>
      <w:r>
        <w:rPr>
          <w:lang w:eastAsia="zh-CN"/>
        </w:rPr>
        <w:t xml:space="preserve"> S2). The first KPFM measurement involves the illumination of the sample with a light source that resembles 1 Sun illumination. The photogenerated charge carriers drift along the perovskite and are extracted at the corresponding interface (holes at HTL and electrons at ETL). Under open-circuit conditions, these charges cannot recombine externally and therefore accumulate at the two junctions of the device. This measurement allows us to see where the extracted photo-charges end up within the device and draw conclusions about the potency of charge extraction at the junctions and whether the performance is hindered by interfacial charge recombination. This newly established charge distribution affects the surface potential that we measure with KPFM. In addition, we conduct the same measurement, but with the application of an applied voltage instead of illumination. In this instance, we do not excite photocharges within our absorber, but rather simulate the resulting charge configuration of our system by applying a voltage with a value close to V</w:t>
      </w:r>
      <w:r>
        <w:rPr>
          <w:vertAlign w:val="subscript"/>
          <w:lang w:eastAsia="zh-CN"/>
        </w:rPr>
        <w:t>oc</w:t>
      </w:r>
      <w:r>
        <w:rPr>
          <w:lang w:eastAsia="zh-CN"/>
        </w:rPr>
        <w:t xml:space="preserve"> (F</w:t>
      </w:r>
      <w:r>
        <w:rPr>
          <w:rFonts w:hint="default"/>
          <w:lang w:val="en-US" w:eastAsia="zh-CN"/>
        </w:rPr>
        <w:t>igure</w:t>
      </w:r>
      <w:r>
        <w:rPr>
          <w:lang w:eastAsia="zh-CN"/>
        </w:rPr>
        <w:t xml:space="preserve"> S3). This measurement allows us to judge the diode quality of the junctions between the perovskite and its two adjacent charge selective layers. For both these measurements, we take potential profile lines across the whole device under dark and short-circuit conditions. These measurements are used as a baseline that we subtract from any consecutive “under illumination” or “with applied voltage” measurements. With this action, we ultimately decouple our results from the relative work functions of the materials comprising the layers and from the effect of surface states or other imperfections that affect every KPFM measurement, regardless of applied conditions. Therefore, the resulting potential profile lines are the result of only photogenerated charges (“under illumination” measurement), or charges that have drifted, been extracted and accumulated because of the applied field (“with applied voltage” measurement).</w:t>
      </w:r>
    </w:p>
    <w:p w14:paraId="1761C73B">
      <w:pPr>
        <w:rPr>
          <w:lang w:eastAsia="zh-CN"/>
        </w:rPr>
      </w:pPr>
      <w:r>
        <w:rPr>
          <w:lang w:eastAsia="en-US"/>
        </w:rPr>
        <w:drawing>
          <wp:anchor distT="0" distB="0" distL="114300" distR="114300" simplePos="0" relativeHeight="251659264" behindDoc="0" locked="0" layoutInCell="1" allowOverlap="1">
            <wp:simplePos x="0" y="0"/>
            <wp:positionH relativeFrom="column">
              <wp:posOffset>1765300</wp:posOffset>
            </wp:positionH>
            <wp:positionV relativeFrom="paragraph">
              <wp:posOffset>323850</wp:posOffset>
            </wp:positionV>
            <wp:extent cx="2349500" cy="1871345"/>
            <wp:effectExtent l="0" t="0" r="12700" b="146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49500" cy="1871345"/>
                    </a:xfrm>
                    <a:prstGeom prst="rect">
                      <a:avLst/>
                    </a:prstGeom>
                    <a:noFill/>
                    <a:ln>
                      <a:noFill/>
                    </a:ln>
                  </pic:spPr>
                </pic:pic>
              </a:graphicData>
            </a:graphic>
          </wp:anchor>
        </w:drawing>
      </w:r>
    </w:p>
    <w:p w14:paraId="1D24E1E6">
      <w:pPr>
        <w:rPr>
          <w:lang w:eastAsia="zh-CN"/>
        </w:rPr>
      </w:pPr>
    </w:p>
    <w:p w14:paraId="2AFB08A0">
      <w:pPr>
        <w:rPr>
          <w:lang w:eastAsia="zh-CN"/>
        </w:rPr>
      </w:pPr>
      <w:r>
        <w:rPr>
          <w:b/>
          <w:bCs/>
          <w:lang w:eastAsia="zh-CN"/>
        </w:rPr>
        <w:t>F</w:t>
      </w:r>
      <w:r>
        <w:rPr>
          <w:rFonts w:hint="default"/>
          <w:b/>
          <w:bCs/>
          <w:lang w:val="en-US" w:eastAsia="zh-CN"/>
        </w:rPr>
        <w:t>igure</w:t>
      </w:r>
      <w:r>
        <w:rPr>
          <w:b/>
          <w:bCs/>
          <w:lang w:eastAsia="zh-CN"/>
        </w:rPr>
        <w:t xml:space="preserve"> S2.</w:t>
      </w:r>
      <w:r>
        <w:rPr>
          <w:lang w:eastAsia="zh-CN"/>
        </w:rPr>
        <w:t xml:space="preserve"> An idealized depiction of the p-i-n junction of a perovskite solar cell. We assume that the equilibration of the Fermi levels of the perovskite with the charge selective layers leads to the formation of an accumulation region between the perovskite and the HTL and a depletion region between the perovskite and the ETL. The corresponding electric fields drive charge extraction at these two junctions.</w:t>
      </w:r>
    </w:p>
    <w:p w14:paraId="58C09CAB">
      <w:pPr>
        <w:rPr>
          <w:lang w:eastAsia="zh-CN"/>
        </w:rPr>
      </w:pPr>
    </w:p>
    <w:p w14:paraId="1D00069F">
      <w:pPr>
        <w:rPr>
          <w:lang w:eastAsia="zh-CN"/>
        </w:rPr>
      </w:pPr>
    </w:p>
    <w:p w14:paraId="206728F2">
      <w:pPr>
        <w:rPr>
          <w:lang w:eastAsia="zh-CN"/>
        </w:rPr>
      </w:pPr>
    </w:p>
    <w:p w14:paraId="7B86B451">
      <w:pPr>
        <w:rPr>
          <w:lang w:eastAsia="zh-CN"/>
        </w:rPr>
      </w:pPr>
      <w:r>
        <w:drawing>
          <wp:inline distT="0" distB="0" distL="114300" distR="114300">
            <wp:extent cx="5749925" cy="210312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9"/>
                    <a:stretch>
                      <a:fillRect/>
                    </a:stretch>
                  </pic:blipFill>
                  <pic:spPr>
                    <a:xfrm>
                      <a:off x="0" y="0"/>
                      <a:ext cx="5749925" cy="2103120"/>
                    </a:xfrm>
                    <a:prstGeom prst="rect">
                      <a:avLst/>
                    </a:prstGeom>
                    <a:noFill/>
                    <a:ln>
                      <a:noFill/>
                    </a:ln>
                  </pic:spPr>
                </pic:pic>
              </a:graphicData>
            </a:graphic>
          </wp:inline>
        </w:drawing>
      </w:r>
    </w:p>
    <w:p w14:paraId="79C09197">
      <w:pPr>
        <w:rPr>
          <w:lang w:eastAsia="zh-CN"/>
        </w:rPr>
      </w:pPr>
    </w:p>
    <w:p w14:paraId="6B9E4BF5">
      <w:pPr>
        <w:rPr>
          <w:lang w:eastAsia="zh-CN"/>
        </w:rPr>
      </w:pPr>
      <w:r>
        <w:rPr>
          <w:b/>
          <w:bCs/>
          <w:lang w:eastAsia="zh-CN"/>
        </w:rPr>
        <w:t>F</w:t>
      </w:r>
      <w:r>
        <w:rPr>
          <w:rFonts w:hint="default"/>
          <w:b/>
          <w:bCs/>
          <w:lang w:val="en-US" w:eastAsia="zh-CN"/>
        </w:rPr>
        <w:t>igure</w:t>
      </w:r>
      <w:r>
        <w:rPr>
          <w:b/>
          <w:bCs/>
          <w:lang w:eastAsia="zh-CN"/>
        </w:rPr>
        <w:t xml:space="preserve"> S3.</w:t>
      </w:r>
      <w:r>
        <w:rPr>
          <w:lang w:eastAsia="zh-CN"/>
        </w:rPr>
        <w:t xml:space="preserve"> A schematic depiction of the two cross-sectional measurements we carried out. With the “illumination/open-circuit” measurement, photogenerated charges accumulate and screen the two built-in fields at the perovskite junctions. Since no charge transport takes place under open-circuit, the limiting factor for this process is charge recombination. With the “applied voltage” measurement, we simulate the aforementioned charge accumulation by forcing it on our solar cell via an external applied voltage of approximately V</w:t>
      </w:r>
      <w:r>
        <w:rPr>
          <w:vertAlign w:val="subscript"/>
          <w:lang w:eastAsia="zh-CN"/>
        </w:rPr>
        <w:t>oc</w:t>
      </w:r>
      <w:r>
        <w:rPr>
          <w:lang w:eastAsia="zh-CN"/>
        </w:rPr>
        <w:t>. Since under open-circuit, electrons accumulate on the FTO side of the device and holes on the Au side, in order to mimic that effect in absence of illumination and simulate the resulting forward biasing of the cell, we need to apply a positive voltage to Au, or a negative voltage to FTO. The applied voltage needs to be ≈ V</w:t>
      </w:r>
      <w:r>
        <w:rPr>
          <w:vertAlign w:val="subscript"/>
          <w:lang w:eastAsia="zh-CN"/>
        </w:rPr>
        <w:t>oc</w:t>
      </w:r>
      <w:r>
        <w:rPr>
          <w:lang w:eastAsia="zh-CN"/>
        </w:rPr>
        <w:t>. With this measurement, we do not generate photo-carriers, but drive the existing intrinsic ones towards the interfaces. In this measurement charge transport takes place, so we can evaluate the effect of junction quality at the interfaces on charge extraction. In F</w:t>
      </w:r>
      <w:r>
        <w:rPr>
          <w:rFonts w:hint="default"/>
          <w:lang w:val="en-US" w:eastAsia="zh-CN"/>
        </w:rPr>
        <w:t>igure</w:t>
      </w:r>
      <w:r>
        <w:rPr>
          <w:lang w:eastAsia="zh-CN"/>
        </w:rPr>
        <w:t xml:space="preserve"> S3, the circles with the positive and negative signs represent the accumulated positive and negative charges.</w:t>
      </w:r>
    </w:p>
    <w:p w14:paraId="32D4EAD1">
      <w:pPr>
        <w:rPr>
          <w:lang w:eastAsia="zh-CN"/>
        </w:rPr>
      </w:pPr>
    </w:p>
    <w:p w14:paraId="6238D1F5">
      <w:pPr>
        <w:rPr>
          <w:lang w:eastAsia="zh-CN"/>
        </w:rPr>
      </w:pPr>
    </w:p>
    <w:p w14:paraId="2D4134A9">
      <w:pPr>
        <w:rPr>
          <w:lang w:eastAsia="zh-CN"/>
        </w:rPr>
      </w:pPr>
    </w:p>
    <w:p w14:paraId="7150BFF8">
      <w:pPr>
        <w:rPr>
          <w:lang w:eastAsia="zh-CN"/>
        </w:rPr>
      </w:pPr>
      <w:r>
        <w:rPr>
          <w:rFonts w:hint="default"/>
          <w:u w:val="single"/>
          <w:lang w:val="en-US" w:eastAsia="zh-CN"/>
        </w:rPr>
        <w:t xml:space="preserve">Supporting File </w:t>
      </w:r>
      <w:r>
        <w:rPr>
          <w:u w:val="single"/>
          <w:lang w:eastAsia="zh-CN"/>
        </w:rPr>
        <w:t>3</w:t>
      </w:r>
      <w:r>
        <w:rPr>
          <w:rFonts w:hint="default"/>
          <w:u w:val="single"/>
          <w:lang w:val="en-US" w:eastAsia="zh-CN"/>
        </w:rPr>
        <w:t>:</w:t>
      </w:r>
      <w:r>
        <w:rPr>
          <w:u w:val="single"/>
          <w:lang w:eastAsia="zh-CN"/>
        </w:rPr>
        <w:t xml:space="preserve"> Doping mechanisms of HTL using BCF and fabrication details</w:t>
      </w:r>
    </w:p>
    <w:p w14:paraId="41E193BD">
      <w:pPr>
        <w:rPr>
          <w:lang w:eastAsia="zh-CN"/>
        </w:rPr>
      </w:pPr>
      <w:r>
        <w:rPr>
          <w:lang w:eastAsia="zh-CN"/>
        </w:rPr>
        <w:t>For the interaction of the BCF dopant with the organic semiconductors, two distinct paths have been proposed. The first one predicts the formation of a Lewis acid / Lewis base complex, by a dative covalent bond between the nitrogen of the organic semiconductor and the boron of BCF. The other mechanism is described by the ground-state integer charge-transfer model, whereby we get free ions, increasing the conductivity. Several attempts to incorporate BCF into spiro-OMeTAD and PTAA are reported, indicating a beneficial effect to the resulting cells’ performance and stability. The proposed doping mechanism when PTAA is the material of choice, involves the partial charge transfer between PTAA and BCF, which due to steric hindrance, forms a frustrated Lewis acid / Lewis base adduct between the two compounds</w:t>
      </w:r>
      <w:r>
        <w:rPr>
          <w:rFonts w:hint="default"/>
          <w:lang w:val="en-US" w:eastAsia="zh-CN"/>
        </w:rPr>
        <w:t xml:space="preserve"> [</w:t>
      </w:r>
      <w:r>
        <w:rPr>
          <w:lang w:eastAsia="zh-CN"/>
        </w:rPr>
        <w:t>1-3</w:t>
      </w:r>
      <w:r>
        <w:rPr>
          <w:rFonts w:hint="default"/>
          <w:lang w:val="en-US" w:eastAsia="zh-CN"/>
        </w:rPr>
        <w:t>]</w:t>
      </w:r>
      <w:r>
        <w:rPr>
          <w:lang w:eastAsia="zh-CN"/>
        </w:rPr>
        <w:t>. Recently reported research suggests that the addition of BCF to PTAA leads to better charge carrier mobility for the HTL, as well as better performance and stability for the corresponding devices, compared to the traditional Li salt doping method</w:t>
      </w:r>
      <w:r>
        <w:rPr>
          <w:rFonts w:hint="default"/>
          <w:lang w:val="en-US" w:eastAsia="zh-CN"/>
        </w:rPr>
        <w:t xml:space="preserve"> [</w:t>
      </w:r>
      <w:r>
        <w:rPr>
          <w:lang w:eastAsia="zh-CN"/>
        </w:rPr>
        <w:t>4</w:t>
      </w:r>
      <w:r>
        <w:rPr>
          <w:rFonts w:hint="default"/>
          <w:lang w:val="en-US" w:eastAsia="zh-CN"/>
        </w:rPr>
        <w:t>]</w:t>
      </w:r>
      <w:r>
        <w:rPr>
          <w:lang w:eastAsia="zh-CN"/>
        </w:rPr>
        <w:t>. The optimal dopant molar fraction for BCF in PTAA is around 10wt %, with groups reporting their best performance with a 5wt %</w:t>
      </w:r>
      <w:r>
        <w:rPr>
          <w:rFonts w:hint="default"/>
          <w:lang w:val="en-US" w:eastAsia="zh-CN"/>
        </w:rPr>
        <w:t xml:space="preserve"> [</w:t>
      </w:r>
      <w:r>
        <w:rPr>
          <w:lang w:eastAsia="zh-CN"/>
        </w:rPr>
        <w:t>4</w:t>
      </w:r>
      <w:r>
        <w:rPr>
          <w:rFonts w:hint="default"/>
          <w:lang w:val="en-US" w:eastAsia="zh-CN"/>
        </w:rPr>
        <w:t>]</w:t>
      </w:r>
      <w:r>
        <w:rPr>
          <w:lang w:eastAsia="zh-CN"/>
        </w:rPr>
        <w:t>, 8wt %</w:t>
      </w:r>
      <w:r>
        <w:rPr>
          <w:rFonts w:hint="default"/>
          <w:lang w:val="en-US" w:eastAsia="zh-CN"/>
        </w:rPr>
        <w:t xml:space="preserve"> [</w:t>
      </w:r>
      <w:r>
        <w:rPr>
          <w:lang w:eastAsia="zh-CN"/>
        </w:rPr>
        <w:t>5</w:t>
      </w:r>
      <w:r>
        <w:rPr>
          <w:rFonts w:hint="default"/>
          <w:lang w:val="en-US" w:eastAsia="zh-CN"/>
        </w:rPr>
        <w:t>]</w:t>
      </w:r>
      <w:r>
        <w:rPr>
          <w:lang w:eastAsia="zh-CN"/>
        </w:rPr>
        <w:t xml:space="preserve"> and 12wt %</w:t>
      </w:r>
      <w:r>
        <w:rPr>
          <w:rFonts w:hint="default"/>
          <w:lang w:val="en-US" w:eastAsia="zh-CN"/>
        </w:rPr>
        <w:t xml:space="preserve"> [</w:t>
      </w:r>
      <w:r>
        <w:rPr>
          <w:lang w:eastAsia="zh-CN"/>
        </w:rPr>
        <w:t>6</w:t>
      </w:r>
      <w:r>
        <w:rPr>
          <w:rFonts w:hint="default"/>
          <w:lang w:val="en-US" w:eastAsia="zh-CN"/>
        </w:rPr>
        <w:t>]</w:t>
      </w:r>
      <w:r>
        <w:rPr>
          <w:lang w:eastAsia="zh-CN"/>
        </w:rPr>
        <w:t xml:space="preserve"> BCF solution. Efforts that incorporate BCF in PTAA predominantly forgo the Li salt/tBP additives, which stems from the high surface quality and low rates of interfacial recombination at the PTAA/perovskite interface</w:t>
      </w:r>
      <w:r>
        <w:rPr>
          <w:rFonts w:hint="default"/>
          <w:lang w:val="en-US" w:eastAsia="zh-CN"/>
        </w:rPr>
        <w:t xml:space="preserve"> [</w:t>
      </w:r>
      <w:r>
        <w:rPr>
          <w:lang w:eastAsia="zh-CN"/>
        </w:rPr>
        <w:t>7</w:t>
      </w:r>
      <w:r>
        <w:rPr>
          <w:rFonts w:hint="default"/>
          <w:lang w:val="en-US" w:eastAsia="zh-CN"/>
        </w:rPr>
        <w:t>]</w:t>
      </w:r>
      <w:r>
        <w:rPr>
          <w:lang w:eastAsia="zh-CN"/>
        </w:rPr>
        <w:t xml:space="preserve">. This shows that as long as PTTA is effectively doped by an additive, the physical properties and charge extracting capability of its HTL junction are going to suffice for a high performing cell. Doping is also needed when spiro-OMeTAD is used as HTL, because despite spiro-OMeTAD films showing a reasonable hole mobility, they lack in overall conductivity. Therefore, an increase in their charge carrier density is needed. Li </w:t>
      </w:r>
      <w:r>
        <w:rPr>
          <w:i/>
          <w:iCs/>
          <w:lang w:eastAsia="zh-CN"/>
        </w:rPr>
        <w:t>et al.</w:t>
      </w:r>
      <w:r>
        <w:rPr>
          <w:lang w:eastAsia="zh-CN"/>
        </w:rPr>
        <w:t xml:space="preserve"> reported that even though the addition of acids as dopants in spiro-OMeTAD increases the overall conductivity of HTLs and performance of devices, the acids alone cannot oxidize spiro-OMeTAD efficiently and therefore the inclusion of the LiTFSI and tBP co-dopants is still required</w:t>
      </w:r>
      <w:r>
        <w:rPr>
          <w:rFonts w:hint="default"/>
          <w:lang w:val="en-US" w:eastAsia="zh-CN"/>
        </w:rPr>
        <w:t xml:space="preserve"> [</w:t>
      </w:r>
      <w:r>
        <w:rPr>
          <w:lang w:eastAsia="zh-CN"/>
        </w:rPr>
        <w:t>8</w:t>
      </w:r>
      <w:r>
        <w:rPr>
          <w:rFonts w:hint="default"/>
          <w:lang w:val="en-US" w:eastAsia="zh-CN"/>
        </w:rPr>
        <w:t>]</w:t>
      </w:r>
      <w:r>
        <w:rPr>
          <w:lang w:eastAsia="zh-CN"/>
        </w:rPr>
        <w:t>. The reason for this is that while BCF can oxidize spiro-OMeTAD, it cannot stabilize the spiro-OMeTAD cation</w:t>
      </w:r>
      <w:r>
        <w:rPr>
          <w:rFonts w:hint="default"/>
          <w:lang w:val="en-US" w:eastAsia="zh-CN"/>
        </w:rPr>
        <w:t xml:space="preserve"> [</w:t>
      </w:r>
      <w:r>
        <w:rPr>
          <w:lang w:eastAsia="zh-CN"/>
        </w:rPr>
        <w:t>9,10</w:t>
      </w:r>
      <w:r>
        <w:rPr>
          <w:rFonts w:hint="default"/>
          <w:lang w:val="en-US" w:eastAsia="zh-CN"/>
        </w:rPr>
        <w:t>]</w:t>
      </w:r>
      <w:r>
        <w:rPr>
          <w:lang w:eastAsia="zh-CN"/>
        </w:rPr>
        <w:t>. In addition, it is known that LiTFSI p-dopes the organic semiconductor by keeping its radical cations, that have resulted from oxidation, in a stable state</w:t>
      </w:r>
      <w:r>
        <w:rPr>
          <w:rFonts w:hint="default"/>
          <w:lang w:val="en-US" w:eastAsia="zh-CN"/>
        </w:rPr>
        <w:t xml:space="preserve"> [</w:t>
      </w:r>
      <w:r>
        <w:rPr>
          <w:lang w:eastAsia="zh-CN"/>
        </w:rPr>
        <w:t>11</w:t>
      </w:r>
      <w:r>
        <w:rPr>
          <w:rFonts w:hint="default"/>
          <w:lang w:val="en-US" w:eastAsia="zh-CN"/>
        </w:rPr>
        <w:t>]</w:t>
      </w:r>
      <w:r>
        <w:rPr>
          <w:lang w:eastAsia="zh-CN"/>
        </w:rPr>
        <w:t>. Additionally, a different doping mechanism of spiro-OMeTAD has been proposed when BCF is used as a dopant, which, unlike the PTAA/BCF case, involves the complete charge transfer between molecule and dopant, and the complete ionization of spiro-OMeTAD</w:t>
      </w:r>
      <w:r>
        <w:rPr>
          <w:rFonts w:hint="default"/>
          <w:lang w:val="en-US" w:eastAsia="zh-CN"/>
        </w:rPr>
        <w:t xml:space="preserve"> [</w:t>
      </w:r>
      <w:r>
        <w:rPr>
          <w:lang w:eastAsia="zh-CN"/>
        </w:rPr>
        <w:t>9</w:t>
      </w:r>
      <w:r>
        <w:rPr>
          <w:rFonts w:hint="default"/>
          <w:lang w:val="en-US" w:eastAsia="zh-CN"/>
        </w:rPr>
        <w:t>]</w:t>
      </w:r>
      <w:r>
        <w:rPr>
          <w:lang w:eastAsia="zh-CN"/>
        </w:rPr>
        <w:t>. For spiro-OMeTAD, it is debated whether BCF necessarily needs to be used in conjunction with Li salt and tBP, with some results showing that the conductivity of the resulting HTL increases more optimally when Li salt and tBP are also included</w:t>
      </w:r>
      <w:r>
        <w:rPr>
          <w:rFonts w:hint="default"/>
          <w:lang w:val="en-US" w:eastAsia="zh-CN"/>
        </w:rPr>
        <w:t xml:space="preserve"> [</w:t>
      </w:r>
      <w:r>
        <w:rPr>
          <w:lang w:eastAsia="zh-CN"/>
        </w:rPr>
        <w:t>9</w:t>
      </w:r>
      <w:r>
        <w:rPr>
          <w:rFonts w:hint="default"/>
          <w:lang w:val="en-US" w:eastAsia="zh-CN"/>
        </w:rPr>
        <w:t>]</w:t>
      </w:r>
      <w:r>
        <w:rPr>
          <w:lang w:eastAsia="zh-CN"/>
        </w:rPr>
        <w:t>, whilst others showing that BCF can work well on its own as an outright LiTFSI/tBP substitute</w:t>
      </w:r>
      <w:r>
        <w:rPr>
          <w:rFonts w:hint="default"/>
          <w:lang w:val="en-US" w:eastAsia="zh-CN"/>
        </w:rPr>
        <w:t xml:space="preserve"> [</w:t>
      </w:r>
      <w:r>
        <w:rPr>
          <w:lang w:eastAsia="zh-CN"/>
        </w:rPr>
        <w:t>12</w:t>
      </w:r>
      <w:r>
        <w:rPr>
          <w:rFonts w:hint="default"/>
          <w:lang w:val="en-US" w:eastAsia="zh-CN"/>
        </w:rPr>
        <w:t>]</w:t>
      </w:r>
      <w:r>
        <w:rPr>
          <w:lang w:eastAsia="zh-CN"/>
        </w:rPr>
        <w:t xml:space="preserve">. The optimal dopant molar fraction of BCF in spiro-OMeTAD reported by Ye </w:t>
      </w:r>
      <w:r>
        <w:rPr>
          <w:i/>
          <w:iCs/>
          <w:lang w:eastAsia="zh-CN"/>
        </w:rPr>
        <w:t>et al.</w:t>
      </w:r>
      <w:r>
        <w:rPr>
          <w:lang w:eastAsia="zh-CN"/>
        </w:rPr>
        <w:t>, similarly to the PTAA case, was between 5-10wt % when Li salt/tBP co-dopants were also used</w:t>
      </w:r>
      <w:r>
        <w:rPr>
          <w:rFonts w:hint="default"/>
          <w:lang w:val="en-US" w:eastAsia="zh-CN"/>
        </w:rPr>
        <w:t xml:space="preserve"> [</w:t>
      </w:r>
      <w:r>
        <w:rPr>
          <w:lang w:eastAsia="zh-CN"/>
        </w:rPr>
        <w:t>9</w:t>
      </w:r>
      <w:r>
        <w:rPr>
          <w:rFonts w:hint="default"/>
          <w:lang w:val="en-US" w:eastAsia="zh-CN"/>
        </w:rPr>
        <w:t>]</w:t>
      </w:r>
      <w:r>
        <w:rPr>
          <w:lang w:eastAsia="zh-CN"/>
        </w:rPr>
        <w:t xml:space="preserve">, whereas Liu </w:t>
      </w:r>
      <w:r>
        <w:rPr>
          <w:i/>
          <w:iCs/>
          <w:lang w:eastAsia="zh-CN"/>
        </w:rPr>
        <w:t>et al.</w:t>
      </w:r>
      <w:r>
        <w:rPr>
          <w:lang w:eastAsia="zh-CN"/>
        </w:rPr>
        <w:t xml:space="preserve"> reported a value closer to 12wt % when they were not</w:t>
      </w:r>
      <w:r>
        <w:rPr>
          <w:rFonts w:hint="default"/>
          <w:lang w:val="en-US" w:eastAsia="zh-CN"/>
        </w:rPr>
        <w:t xml:space="preserve"> [</w:t>
      </w:r>
      <w:r>
        <w:rPr>
          <w:lang w:eastAsia="zh-CN"/>
        </w:rPr>
        <w:t>12</w:t>
      </w:r>
      <w:r>
        <w:rPr>
          <w:rFonts w:hint="default"/>
          <w:lang w:val="en-US" w:eastAsia="zh-CN"/>
        </w:rPr>
        <w:t>]</w:t>
      </w:r>
      <w:r>
        <w:rPr>
          <w:lang w:eastAsia="zh-CN"/>
        </w:rPr>
        <w:t>.</w:t>
      </w:r>
    </w:p>
    <w:p w14:paraId="05EDA33D">
      <w:pPr>
        <w:rPr>
          <w:lang w:eastAsia="zh-CN"/>
        </w:rPr>
      </w:pPr>
    </w:p>
    <w:p w14:paraId="089C0C04">
      <w:pPr>
        <w:rPr>
          <w:lang w:eastAsia="zh-CN"/>
        </w:rPr>
      </w:pPr>
    </w:p>
    <w:p w14:paraId="6585B969">
      <w:pPr>
        <w:rPr>
          <w:lang w:eastAsia="zh-CN"/>
        </w:rPr>
      </w:pPr>
    </w:p>
    <w:p w14:paraId="5626E7AE">
      <w:pPr>
        <w:rPr>
          <w:lang w:eastAsia="zh-CN"/>
        </w:rPr>
      </w:pPr>
    </w:p>
    <w:p w14:paraId="2D92E5B0">
      <w:pPr>
        <w:rPr>
          <w:lang w:eastAsia="zh-CN"/>
        </w:rPr>
      </w:pPr>
    </w:p>
    <w:p w14:paraId="778264DB">
      <w:pPr>
        <w:rPr>
          <w:lang w:eastAsia="zh-CN"/>
        </w:rPr>
      </w:pPr>
    </w:p>
    <w:p w14:paraId="6064102E">
      <w:pPr>
        <w:rPr>
          <w:lang w:eastAsia="zh-CN"/>
        </w:rPr>
      </w:pPr>
    </w:p>
    <w:p w14:paraId="79CDA0D4">
      <w:pPr>
        <w:rPr>
          <w:lang w:eastAsia="zh-CN"/>
        </w:rPr>
      </w:pPr>
    </w:p>
    <w:p w14:paraId="609FE956">
      <w:pPr>
        <w:rPr>
          <w:lang w:eastAsia="zh-CN"/>
        </w:rPr>
      </w:pPr>
    </w:p>
    <w:p w14:paraId="71C7800D">
      <w:pPr>
        <w:rPr>
          <w:lang w:eastAsia="zh-CN"/>
        </w:rPr>
      </w:pPr>
    </w:p>
    <w:p w14:paraId="44A0596E">
      <w:pPr>
        <w:rPr>
          <w:lang w:eastAsia="zh-CN"/>
        </w:rPr>
      </w:pPr>
      <w:r>
        <w:rPr>
          <w:rFonts w:hint="default"/>
          <w:u w:val="single"/>
          <w:lang w:val="en-US" w:eastAsia="zh-CN"/>
        </w:rPr>
        <w:t xml:space="preserve">Supporting File </w:t>
      </w:r>
      <w:r>
        <w:rPr>
          <w:u w:val="single"/>
          <w:lang w:eastAsia="zh-CN"/>
        </w:rPr>
        <w:t>4</w:t>
      </w:r>
      <w:r>
        <w:rPr>
          <w:rFonts w:hint="default"/>
          <w:u w:val="single"/>
          <w:lang w:val="en-US" w:eastAsia="zh-CN"/>
        </w:rPr>
        <w:t>:</w:t>
      </w:r>
      <w:r>
        <w:rPr>
          <w:u w:val="single"/>
          <w:lang w:eastAsia="zh-CN"/>
        </w:rPr>
        <w:t xml:space="preserve"> Calibration of layer thickness with SEM and AFM</w:t>
      </w:r>
    </w:p>
    <w:p w14:paraId="3267E619">
      <w:pPr>
        <w:rPr>
          <w:rFonts w:hint="default"/>
          <w:lang w:val="en-US" w:eastAsia="zh-CN"/>
        </w:rPr>
      </w:pPr>
      <w:r>
        <w:rPr>
          <w:u w:val="single"/>
          <w:lang w:eastAsia="en-US"/>
        </w:rPr>
        <w:drawing>
          <wp:anchor distT="0" distB="0" distL="114300" distR="114300" simplePos="0" relativeHeight="251662336" behindDoc="0" locked="0" layoutInCell="1" allowOverlap="1">
            <wp:simplePos x="0" y="0"/>
            <wp:positionH relativeFrom="margin">
              <wp:posOffset>-200025</wp:posOffset>
            </wp:positionH>
            <wp:positionV relativeFrom="paragraph">
              <wp:posOffset>30480</wp:posOffset>
            </wp:positionV>
            <wp:extent cx="6125845" cy="2548255"/>
            <wp:effectExtent l="0" t="0" r="8255" b="444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a:xfrm>
                      <a:off x="0" y="0"/>
                      <a:ext cx="6125845" cy="2548255"/>
                    </a:xfrm>
                    <a:prstGeom prst="rect">
                      <a:avLst/>
                    </a:prstGeom>
                    <a:noFill/>
                    <a:ln>
                      <a:noFill/>
                    </a:ln>
                  </pic:spPr>
                </pic:pic>
              </a:graphicData>
            </a:graphic>
          </wp:anchor>
        </w:drawing>
      </w:r>
      <w:r>
        <w:rPr>
          <w:b/>
          <w:bCs/>
          <w:lang w:eastAsia="zh-CN"/>
        </w:rPr>
        <w:t>F</w:t>
      </w:r>
      <w:r>
        <w:rPr>
          <w:rFonts w:hint="default"/>
          <w:b/>
          <w:bCs/>
          <w:lang w:val="en-US" w:eastAsia="zh-CN"/>
        </w:rPr>
        <w:t>igure</w:t>
      </w:r>
      <w:r>
        <w:rPr>
          <w:b/>
          <w:bCs/>
          <w:lang w:eastAsia="zh-CN"/>
        </w:rPr>
        <w:t xml:space="preserve"> S4.</w:t>
      </w:r>
      <w:r>
        <w:rPr>
          <w:lang w:eastAsia="zh-CN"/>
        </w:rPr>
        <w:t xml:space="preserve"> SEM and AFM (dynamic mode, amplitude channel) images for device with: (i) spiro-OMeTAD without BCF, (ii) spiro-OMeTAD with BCF, (iii) PTAA without BCF and (iv) PTAA with BCF.</w:t>
      </w:r>
    </w:p>
    <w:p w14:paraId="2FEB8904">
      <w:r>
        <w:rPr>
          <w:b/>
          <w:bCs/>
        </w:rPr>
        <w:t>T</w:t>
      </w:r>
      <w:r>
        <w:rPr>
          <w:rFonts w:hint="default"/>
          <w:b/>
          <w:bCs/>
          <w:lang w:val="en-US"/>
        </w:rPr>
        <w:t>able</w:t>
      </w:r>
      <w:r>
        <w:rPr>
          <w:b/>
          <w:bCs/>
        </w:rPr>
        <w:t xml:space="preserve"> S</w:t>
      </w:r>
      <w:r>
        <w:rPr>
          <w:rFonts w:hint="default"/>
          <w:b/>
          <w:bCs/>
          <w:lang w:val="en-US"/>
        </w:rPr>
        <w:t>1:</w:t>
      </w:r>
      <w:r>
        <w:t xml:space="preserve"> </w:t>
      </w:r>
      <w:r>
        <w:rPr>
          <w:lang w:eastAsia="zh-CN"/>
        </w:rPr>
        <w:t>Thicknesses of the layers as evaluated from SEM and AFM images, for each measured device.</w:t>
      </w:r>
      <w:r>
        <w:t xml:space="preserve"> </w:t>
      </w:r>
    </w:p>
    <w:tbl>
      <w:tblPr>
        <w:tblStyle w:val="7"/>
        <w:tblW w:w="6270" w:type="dxa"/>
        <w:tblInd w:w="91" w:type="dxa"/>
        <w:tblLayout w:type="autofit"/>
        <w:tblCellMar>
          <w:top w:w="0" w:type="dxa"/>
          <w:left w:w="108" w:type="dxa"/>
          <w:bottom w:w="0" w:type="dxa"/>
          <w:right w:w="108" w:type="dxa"/>
        </w:tblCellMar>
      </w:tblPr>
      <w:tblGrid>
        <w:gridCol w:w="1310"/>
        <w:gridCol w:w="1217"/>
        <w:gridCol w:w="1217"/>
        <w:gridCol w:w="1595"/>
        <w:gridCol w:w="1715"/>
      </w:tblGrid>
      <w:tr w14:paraId="1782D109">
        <w:tblPrEx>
          <w:tblCellMar>
            <w:top w:w="0" w:type="dxa"/>
            <w:left w:w="108" w:type="dxa"/>
            <w:bottom w:w="0" w:type="dxa"/>
            <w:right w:w="108" w:type="dxa"/>
          </w:tblCellMar>
        </w:tblPrEx>
        <w:trPr>
          <w:trHeight w:val="360" w:hRule="atLeast"/>
        </w:trPr>
        <w:tc>
          <w:tcPr>
            <w:tcW w:w="960" w:type="dxa"/>
            <w:tcBorders>
              <w:top w:val="double" w:color="auto" w:sz="6" w:space="0"/>
              <w:left w:val="nil"/>
              <w:bottom w:val="single" w:color="auto" w:sz="8" w:space="0"/>
              <w:right w:val="nil"/>
            </w:tcBorders>
            <w:shd w:val="clear" w:color="auto" w:fill="auto"/>
            <w:noWrap/>
            <w:vAlign w:val="center"/>
          </w:tcPr>
          <w:p w14:paraId="79F4325F">
            <w:r>
              <w:t>Layer thickness (nm)</w:t>
            </w:r>
          </w:p>
        </w:tc>
        <w:tc>
          <w:tcPr>
            <w:tcW w:w="960" w:type="dxa"/>
            <w:tcBorders>
              <w:top w:val="double" w:color="auto" w:sz="6" w:space="0"/>
              <w:left w:val="nil"/>
              <w:bottom w:val="single" w:color="auto" w:sz="8" w:space="0"/>
              <w:right w:val="nil"/>
            </w:tcBorders>
            <w:shd w:val="clear" w:color="auto" w:fill="auto"/>
            <w:noWrap/>
            <w:vAlign w:val="center"/>
          </w:tcPr>
          <w:p w14:paraId="283D5123">
            <w:r>
              <w:t>1: spiro-OMeTAD without BCF</w:t>
            </w:r>
          </w:p>
        </w:tc>
        <w:tc>
          <w:tcPr>
            <w:tcW w:w="1040" w:type="dxa"/>
            <w:tcBorders>
              <w:top w:val="double" w:color="auto" w:sz="6" w:space="0"/>
              <w:left w:val="nil"/>
              <w:bottom w:val="single" w:color="auto" w:sz="8" w:space="0"/>
              <w:right w:val="nil"/>
            </w:tcBorders>
            <w:shd w:val="clear" w:color="auto" w:fill="auto"/>
            <w:noWrap/>
            <w:vAlign w:val="center"/>
          </w:tcPr>
          <w:p w14:paraId="535E7179">
            <w:r>
              <w:t>2: spiro-OMeTAD with BCF</w:t>
            </w:r>
          </w:p>
        </w:tc>
        <w:tc>
          <w:tcPr>
            <w:tcW w:w="1595" w:type="dxa"/>
            <w:tcBorders>
              <w:top w:val="double" w:color="auto" w:sz="6" w:space="0"/>
              <w:left w:val="nil"/>
              <w:bottom w:val="single" w:color="auto" w:sz="8" w:space="0"/>
              <w:right w:val="nil"/>
            </w:tcBorders>
            <w:shd w:val="clear" w:color="auto" w:fill="auto"/>
            <w:noWrap/>
            <w:vAlign w:val="center"/>
          </w:tcPr>
          <w:p w14:paraId="69340CEA">
            <w:r>
              <w:t>3: PTAA without BCF</w:t>
            </w:r>
          </w:p>
        </w:tc>
        <w:tc>
          <w:tcPr>
            <w:tcW w:w="1715" w:type="dxa"/>
            <w:tcBorders>
              <w:top w:val="double" w:color="auto" w:sz="6" w:space="0"/>
              <w:left w:val="nil"/>
              <w:bottom w:val="single" w:color="auto" w:sz="8" w:space="0"/>
              <w:right w:val="nil"/>
            </w:tcBorders>
            <w:shd w:val="clear" w:color="auto" w:fill="auto"/>
            <w:noWrap/>
            <w:vAlign w:val="center"/>
          </w:tcPr>
          <w:p w14:paraId="0CE064AC">
            <w:r>
              <w:t>4: PTAA with BCF</w:t>
            </w:r>
          </w:p>
        </w:tc>
      </w:tr>
      <w:tr w14:paraId="6C58357D">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center"/>
          </w:tcPr>
          <w:p w14:paraId="109A02BD">
            <w:r>
              <w:t>Au electrode</w:t>
            </w:r>
          </w:p>
        </w:tc>
        <w:tc>
          <w:tcPr>
            <w:tcW w:w="960" w:type="dxa"/>
            <w:tcBorders>
              <w:top w:val="nil"/>
              <w:left w:val="nil"/>
              <w:bottom w:val="nil"/>
              <w:right w:val="nil"/>
            </w:tcBorders>
            <w:shd w:val="clear" w:color="auto" w:fill="auto"/>
            <w:noWrap/>
            <w:vAlign w:val="center"/>
          </w:tcPr>
          <w:p w14:paraId="7F67D689">
            <w:r>
              <w:t>100</w:t>
            </w:r>
          </w:p>
        </w:tc>
        <w:tc>
          <w:tcPr>
            <w:tcW w:w="1040" w:type="dxa"/>
            <w:tcBorders>
              <w:top w:val="nil"/>
              <w:left w:val="nil"/>
              <w:bottom w:val="nil"/>
              <w:right w:val="nil"/>
            </w:tcBorders>
            <w:shd w:val="clear" w:color="auto" w:fill="auto"/>
            <w:noWrap/>
            <w:vAlign w:val="center"/>
          </w:tcPr>
          <w:p w14:paraId="4D9E49B8">
            <w:r>
              <w:t>79</w:t>
            </w:r>
          </w:p>
        </w:tc>
        <w:tc>
          <w:tcPr>
            <w:tcW w:w="1595" w:type="dxa"/>
            <w:tcBorders>
              <w:top w:val="nil"/>
              <w:left w:val="nil"/>
              <w:bottom w:val="nil"/>
              <w:right w:val="nil"/>
            </w:tcBorders>
            <w:shd w:val="clear" w:color="auto" w:fill="auto"/>
            <w:noWrap/>
            <w:vAlign w:val="center"/>
          </w:tcPr>
          <w:p w14:paraId="4C7EECBD">
            <w:r>
              <w:t>106</w:t>
            </w:r>
          </w:p>
        </w:tc>
        <w:tc>
          <w:tcPr>
            <w:tcW w:w="1715" w:type="dxa"/>
            <w:tcBorders>
              <w:top w:val="nil"/>
              <w:left w:val="nil"/>
              <w:bottom w:val="nil"/>
              <w:right w:val="nil"/>
            </w:tcBorders>
            <w:shd w:val="clear" w:color="auto" w:fill="auto"/>
            <w:noWrap/>
            <w:vAlign w:val="center"/>
          </w:tcPr>
          <w:p w14:paraId="3C4CE0C8">
            <w:r>
              <w:t>75</w:t>
            </w:r>
          </w:p>
        </w:tc>
      </w:tr>
      <w:tr w14:paraId="21F4BB83">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center"/>
          </w:tcPr>
          <w:p w14:paraId="0F08FEA4">
            <w:r>
              <w:t>spiro-OMeTAD</w:t>
            </w:r>
          </w:p>
        </w:tc>
        <w:tc>
          <w:tcPr>
            <w:tcW w:w="960" w:type="dxa"/>
            <w:tcBorders>
              <w:top w:val="nil"/>
              <w:left w:val="nil"/>
              <w:bottom w:val="nil"/>
              <w:right w:val="nil"/>
            </w:tcBorders>
            <w:shd w:val="clear" w:color="auto" w:fill="auto"/>
            <w:noWrap/>
            <w:vAlign w:val="center"/>
          </w:tcPr>
          <w:p w14:paraId="671D815D">
            <w:r>
              <w:t>150</w:t>
            </w:r>
          </w:p>
        </w:tc>
        <w:tc>
          <w:tcPr>
            <w:tcW w:w="1040" w:type="dxa"/>
            <w:tcBorders>
              <w:top w:val="nil"/>
              <w:left w:val="nil"/>
              <w:bottom w:val="nil"/>
              <w:right w:val="nil"/>
            </w:tcBorders>
            <w:shd w:val="clear" w:color="auto" w:fill="auto"/>
            <w:noWrap/>
            <w:vAlign w:val="center"/>
          </w:tcPr>
          <w:p w14:paraId="71F8B7EE">
            <w:r>
              <w:t>124</w:t>
            </w:r>
          </w:p>
        </w:tc>
        <w:tc>
          <w:tcPr>
            <w:tcW w:w="1595" w:type="dxa"/>
            <w:tcBorders>
              <w:top w:val="nil"/>
              <w:left w:val="nil"/>
              <w:bottom w:val="nil"/>
              <w:right w:val="nil"/>
            </w:tcBorders>
            <w:shd w:val="clear" w:color="auto" w:fill="auto"/>
            <w:noWrap/>
            <w:vAlign w:val="center"/>
          </w:tcPr>
          <w:p w14:paraId="6DB51BEC">
            <w:r>
              <w:t>60</w:t>
            </w:r>
          </w:p>
        </w:tc>
        <w:tc>
          <w:tcPr>
            <w:tcW w:w="1715" w:type="dxa"/>
            <w:tcBorders>
              <w:top w:val="nil"/>
              <w:left w:val="nil"/>
              <w:bottom w:val="nil"/>
              <w:right w:val="nil"/>
            </w:tcBorders>
            <w:shd w:val="clear" w:color="auto" w:fill="auto"/>
            <w:noWrap/>
            <w:vAlign w:val="center"/>
          </w:tcPr>
          <w:p w14:paraId="57FD0D51">
            <w:r>
              <w:t>70</w:t>
            </w:r>
          </w:p>
        </w:tc>
      </w:tr>
      <w:tr w14:paraId="59D37F91">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center"/>
          </w:tcPr>
          <w:p w14:paraId="44CA5752">
            <w:r>
              <w:t>perovskite</w:t>
            </w:r>
          </w:p>
        </w:tc>
        <w:tc>
          <w:tcPr>
            <w:tcW w:w="960" w:type="dxa"/>
            <w:tcBorders>
              <w:top w:val="nil"/>
              <w:left w:val="nil"/>
              <w:bottom w:val="nil"/>
              <w:right w:val="nil"/>
            </w:tcBorders>
            <w:shd w:val="clear" w:color="auto" w:fill="auto"/>
            <w:noWrap/>
            <w:vAlign w:val="center"/>
          </w:tcPr>
          <w:p w14:paraId="2184D09D">
            <w:r>
              <w:t>230</w:t>
            </w:r>
          </w:p>
        </w:tc>
        <w:tc>
          <w:tcPr>
            <w:tcW w:w="1040" w:type="dxa"/>
            <w:tcBorders>
              <w:top w:val="nil"/>
              <w:left w:val="nil"/>
              <w:bottom w:val="nil"/>
              <w:right w:val="nil"/>
            </w:tcBorders>
            <w:shd w:val="clear" w:color="auto" w:fill="auto"/>
            <w:noWrap/>
            <w:vAlign w:val="center"/>
          </w:tcPr>
          <w:p w14:paraId="7F43D91E">
            <w:r>
              <w:t>234</w:t>
            </w:r>
          </w:p>
        </w:tc>
        <w:tc>
          <w:tcPr>
            <w:tcW w:w="1595" w:type="dxa"/>
            <w:tcBorders>
              <w:top w:val="nil"/>
              <w:left w:val="nil"/>
              <w:bottom w:val="nil"/>
              <w:right w:val="nil"/>
            </w:tcBorders>
            <w:shd w:val="clear" w:color="auto" w:fill="auto"/>
            <w:noWrap/>
            <w:vAlign w:val="center"/>
          </w:tcPr>
          <w:p w14:paraId="68ED5C0A">
            <w:r>
              <w:t>250</w:t>
            </w:r>
          </w:p>
        </w:tc>
        <w:tc>
          <w:tcPr>
            <w:tcW w:w="1715" w:type="dxa"/>
            <w:tcBorders>
              <w:top w:val="nil"/>
              <w:left w:val="nil"/>
              <w:bottom w:val="nil"/>
              <w:right w:val="nil"/>
            </w:tcBorders>
            <w:shd w:val="clear" w:color="auto" w:fill="auto"/>
            <w:noWrap/>
            <w:vAlign w:val="center"/>
          </w:tcPr>
          <w:p w14:paraId="74F0ED7B">
            <w:r>
              <w:t>240</w:t>
            </w:r>
          </w:p>
        </w:tc>
      </w:tr>
      <w:tr w14:paraId="6ED36C44">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center"/>
          </w:tcPr>
          <w:p w14:paraId="21D1CF7E">
            <w:r>
              <w:t>mp/c-TiO</w:t>
            </w:r>
            <w:r>
              <w:rPr>
                <w:vertAlign w:val="subscript"/>
              </w:rPr>
              <w:t>2</w:t>
            </w:r>
          </w:p>
        </w:tc>
        <w:tc>
          <w:tcPr>
            <w:tcW w:w="960" w:type="dxa"/>
            <w:tcBorders>
              <w:top w:val="nil"/>
              <w:left w:val="nil"/>
              <w:bottom w:val="nil"/>
              <w:right w:val="nil"/>
            </w:tcBorders>
            <w:shd w:val="clear" w:color="auto" w:fill="auto"/>
            <w:noWrap/>
            <w:vAlign w:val="center"/>
          </w:tcPr>
          <w:p w14:paraId="0911EB3F">
            <w:r>
              <w:t>170</w:t>
            </w:r>
          </w:p>
        </w:tc>
        <w:tc>
          <w:tcPr>
            <w:tcW w:w="1040" w:type="dxa"/>
            <w:tcBorders>
              <w:top w:val="nil"/>
              <w:left w:val="nil"/>
              <w:bottom w:val="nil"/>
              <w:right w:val="nil"/>
            </w:tcBorders>
            <w:shd w:val="clear" w:color="auto" w:fill="auto"/>
            <w:noWrap/>
            <w:vAlign w:val="center"/>
          </w:tcPr>
          <w:p w14:paraId="0F7A7488">
            <w:r>
              <w:t>130</w:t>
            </w:r>
          </w:p>
        </w:tc>
        <w:tc>
          <w:tcPr>
            <w:tcW w:w="1595" w:type="dxa"/>
            <w:tcBorders>
              <w:top w:val="nil"/>
              <w:left w:val="nil"/>
              <w:bottom w:val="nil"/>
              <w:right w:val="nil"/>
            </w:tcBorders>
            <w:shd w:val="clear" w:color="auto" w:fill="auto"/>
            <w:noWrap/>
            <w:vAlign w:val="center"/>
          </w:tcPr>
          <w:p w14:paraId="67D53210">
            <w:r>
              <w:t>181</w:t>
            </w:r>
          </w:p>
        </w:tc>
        <w:tc>
          <w:tcPr>
            <w:tcW w:w="1715" w:type="dxa"/>
            <w:tcBorders>
              <w:top w:val="nil"/>
              <w:left w:val="nil"/>
              <w:bottom w:val="nil"/>
              <w:right w:val="nil"/>
            </w:tcBorders>
            <w:shd w:val="clear" w:color="auto" w:fill="auto"/>
            <w:noWrap/>
            <w:vAlign w:val="center"/>
          </w:tcPr>
          <w:p w14:paraId="78EE738A">
            <w:r>
              <w:t>200</w:t>
            </w:r>
          </w:p>
        </w:tc>
      </w:tr>
      <w:tr w14:paraId="361BE823">
        <w:tblPrEx>
          <w:tblCellMar>
            <w:top w:w="0" w:type="dxa"/>
            <w:left w:w="108" w:type="dxa"/>
            <w:bottom w:w="0" w:type="dxa"/>
            <w:right w:w="108" w:type="dxa"/>
          </w:tblCellMar>
        </w:tblPrEx>
        <w:trPr>
          <w:trHeight w:val="300" w:hRule="atLeast"/>
        </w:trPr>
        <w:tc>
          <w:tcPr>
            <w:tcW w:w="960" w:type="dxa"/>
            <w:tcBorders>
              <w:top w:val="nil"/>
              <w:left w:val="nil"/>
              <w:bottom w:val="nil"/>
              <w:right w:val="nil"/>
            </w:tcBorders>
            <w:shd w:val="clear" w:color="auto" w:fill="auto"/>
            <w:noWrap/>
            <w:vAlign w:val="center"/>
          </w:tcPr>
          <w:p w14:paraId="3FED65B6">
            <w:r>
              <w:t>FTO electrode</w:t>
            </w:r>
          </w:p>
        </w:tc>
        <w:tc>
          <w:tcPr>
            <w:tcW w:w="960" w:type="dxa"/>
            <w:tcBorders>
              <w:top w:val="nil"/>
              <w:left w:val="nil"/>
              <w:bottom w:val="nil"/>
              <w:right w:val="nil"/>
            </w:tcBorders>
            <w:shd w:val="clear" w:color="auto" w:fill="auto"/>
            <w:noWrap/>
            <w:vAlign w:val="center"/>
          </w:tcPr>
          <w:p w14:paraId="1163DE72">
            <w:r>
              <w:t>620</w:t>
            </w:r>
          </w:p>
        </w:tc>
        <w:tc>
          <w:tcPr>
            <w:tcW w:w="1040" w:type="dxa"/>
            <w:tcBorders>
              <w:top w:val="nil"/>
              <w:left w:val="nil"/>
              <w:bottom w:val="nil"/>
              <w:right w:val="nil"/>
            </w:tcBorders>
            <w:shd w:val="clear" w:color="auto" w:fill="auto"/>
            <w:noWrap/>
            <w:vAlign w:val="center"/>
          </w:tcPr>
          <w:p w14:paraId="3F598166">
            <w:r>
              <w:t>510</w:t>
            </w:r>
          </w:p>
        </w:tc>
        <w:tc>
          <w:tcPr>
            <w:tcW w:w="1595" w:type="dxa"/>
            <w:tcBorders>
              <w:top w:val="nil"/>
              <w:left w:val="nil"/>
              <w:bottom w:val="nil"/>
              <w:right w:val="nil"/>
            </w:tcBorders>
            <w:shd w:val="clear" w:color="auto" w:fill="auto"/>
            <w:noWrap/>
            <w:vAlign w:val="center"/>
          </w:tcPr>
          <w:p w14:paraId="67C5F28E">
            <w:r>
              <w:t>570</w:t>
            </w:r>
          </w:p>
        </w:tc>
        <w:tc>
          <w:tcPr>
            <w:tcW w:w="1715" w:type="dxa"/>
            <w:tcBorders>
              <w:top w:val="nil"/>
              <w:left w:val="nil"/>
              <w:bottom w:val="nil"/>
              <w:right w:val="nil"/>
            </w:tcBorders>
            <w:shd w:val="clear" w:color="auto" w:fill="auto"/>
            <w:noWrap/>
            <w:vAlign w:val="center"/>
          </w:tcPr>
          <w:p w14:paraId="2FF71CE2">
            <w:r>
              <w:t>610</w:t>
            </w:r>
          </w:p>
        </w:tc>
      </w:tr>
    </w:tbl>
    <w:p w14:paraId="4E399BF9">
      <w:pPr>
        <w:rPr>
          <w:u w:val="single"/>
          <w:lang w:eastAsia="zh-CN"/>
        </w:rPr>
      </w:pPr>
      <w:r>
        <w:rPr>
          <w:rFonts w:hint="default"/>
          <w:u w:val="single"/>
          <w:lang w:val="en-US" w:eastAsia="zh-CN"/>
        </w:rPr>
        <w:t xml:space="preserve">Supporting File </w:t>
      </w:r>
      <w:r>
        <w:rPr>
          <w:u w:val="single"/>
          <w:lang w:eastAsia="zh-CN"/>
        </w:rPr>
        <w:t>5</w:t>
      </w:r>
      <w:r>
        <w:rPr>
          <w:rFonts w:hint="default"/>
          <w:u w:val="single"/>
          <w:lang w:val="en-US" w:eastAsia="zh-CN"/>
        </w:rPr>
        <w:t>:</w:t>
      </w:r>
      <w:r>
        <w:rPr>
          <w:u w:val="single"/>
          <w:lang w:eastAsia="zh-CN"/>
        </w:rPr>
        <w:t xml:space="preserve"> KPFM results of forward biased devices from both Au and FTO sides</w:t>
      </w:r>
    </w:p>
    <w:p w14:paraId="132182AA">
      <w:pPr>
        <w:rPr>
          <w:lang w:eastAsia="zh-CN"/>
        </w:rPr>
      </w:pPr>
      <w:r>
        <w:rPr>
          <w:lang w:eastAsia="en-US"/>
        </w:rPr>
        <w:drawing>
          <wp:inline distT="0" distB="0" distL="0" distR="0">
            <wp:extent cx="5723255" cy="4821555"/>
            <wp:effectExtent l="0" t="0" r="10795" b="171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a:xfrm>
                      <a:off x="0" y="0"/>
                      <a:ext cx="5723255" cy="4821555"/>
                    </a:xfrm>
                    <a:prstGeom prst="rect">
                      <a:avLst/>
                    </a:prstGeom>
                    <a:noFill/>
                    <a:ln>
                      <a:noFill/>
                    </a:ln>
                  </pic:spPr>
                </pic:pic>
              </a:graphicData>
            </a:graphic>
          </wp:inline>
        </w:drawing>
      </w:r>
    </w:p>
    <w:p w14:paraId="079E7A1F">
      <w:pPr>
        <w:rPr>
          <w:lang w:eastAsia="zh-CN"/>
        </w:rPr>
      </w:pPr>
      <w:r>
        <w:rPr>
          <w:b/>
          <w:bCs/>
          <w:lang w:eastAsia="zh-CN"/>
        </w:rPr>
        <w:t>F</w:t>
      </w:r>
      <w:r>
        <w:rPr>
          <w:rFonts w:hint="default"/>
          <w:b/>
          <w:bCs/>
          <w:lang w:val="en-US" w:eastAsia="zh-CN"/>
        </w:rPr>
        <w:t>igure</w:t>
      </w:r>
      <w:r>
        <w:rPr>
          <w:b/>
          <w:bCs/>
          <w:lang w:eastAsia="zh-CN"/>
        </w:rPr>
        <w:t xml:space="preserve"> S5.</w:t>
      </w:r>
      <w:r>
        <w:rPr>
          <w:lang w:eastAsia="zh-CN"/>
        </w:rPr>
        <w:t xml:space="preserve"> The results of the cross-sectional KPFM measurement with an applied voltage of +1</w:t>
      </w:r>
      <w:r>
        <w:rPr>
          <w:rFonts w:hint="default"/>
          <w:lang w:val="en-US" w:eastAsia="zh-CN"/>
        </w:rPr>
        <w:t xml:space="preserve"> </w:t>
      </w:r>
      <w:r>
        <w:rPr>
          <w:lang w:eastAsia="zh-CN"/>
        </w:rPr>
        <w:t>V on the Au side (FTO side grounded) and -1V on the FTO side (Au side grounded). We apply ±1</w:t>
      </w:r>
      <w:r>
        <w:rPr>
          <w:rFonts w:hint="default"/>
          <w:lang w:val="en-US" w:eastAsia="zh-CN"/>
        </w:rPr>
        <w:t xml:space="preserve"> </w:t>
      </w:r>
      <w:r>
        <w:rPr>
          <w:lang w:eastAsia="zh-CN"/>
        </w:rPr>
        <w:t>V because V</w:t>
      </w:r>
      <w:r>
        <w:rPr>
          <w:vertAlign w:val="subscript"/>
          <w:lang w:eastAsia="zh-CN"/>
        </w:rPr>
        <w:t>oc</w:t>
      </w:r>
      <w:r>
        <w:rPr>
          <w:lang w:eastAsia="zh-CN"/>
        </w:rPr>
        <w:t xml:space="preserve"> ≈ 1</w:t>
      </w:r>
      <w:r>
        <w:rPr>
          <w:rFonts w:hint="default"/>
          <w:lang w:val="en-US" w:eastAsia="zh-CN"/>
        </w:rPr>
        <w:t xml:space="preserve"> </w:t>
      </w:r>
      <w:r>
        <w:rPr>
          <w:lang w:eastAsia="zh-CN"/>
        </w:rPr>
        <w:t>V. Both configurations refer to a forward biased junction; therefore, their relative agreement is indicative of the reliability of our measurement. Both the black and the red vertical axes of the graphs correspond to positive values.</w:t>
      </w:r>
    </w:p>
    <w:p w14:paraId="01E7F2B7">
      <w:pPr>
        <w:rPr>
          <w:lang w:eastAsia="zh-CN"/>
        </w:rPr>
      </w:pPr>
    </w:p>
    <w:p w14:paraId="68A079BA">
      <w:pPr>
        <w:rPr>
          <w:lang w:eastAsia="zh-CN"/>
        </w:rPr>
      </w:pPr>
    </w:p>
    <w:p w14:paraId="59CFB511">
      <w:pPr>
        <w:rPr>
          <w:lang w:eastAsia="zh-CN"/>
        </w:rPr>
      </w:pPr>
    </w:p>
    <w:p w14:paraId="37A95E62">
      <w:pPr>
        <w:rPr>
          <w:u w:val="single"/>
          <w:lang w:eastAsia="zh-CN"/>
        </w:rPr>
      </w:pPr>
      <w:r>
        <w:rPr>
          <w:rFonts w:hint="default"/>
          <w:u w:val="single"/>
          <w:lang w:val="en-US" w:eastAsia="zh-CN"/>
        </w:rPr>
        <w:t xml:space="preserve">Supporting File </w:t>
      </w:r>
      <w:r>
        <w:rPr>
          <w:u w:val="single"/>
          <w:lang w:eastAsia="zh-CN"/>
        </w:rPr>
        <w:t>6</w:t>
      </w:r>
      <w:r>
        <w:rPr>
          <w:rFonts w:hint="default"/>
          <w:u w:val="single"/>
          <w:lang w:val="en-US" w:eastAsia="zh-CN"/>
        </w:rPr>
        <w:t>:</w:t>
      </w:r>
      <w:r>
        <w:rPr>
          <w:u w:val="single"/>
          <w:lang w:eastAsia="zh-CN"/>
        </w:rPr>
        <w:t xml:space="preserve"> Example KPFM images and potential profiles under illumination and open-circuit</w:t>
      </w:r>
    </w:p>
    <w:p w14:paraId="3D7F4004">
      <w:pPr>
        <w:rPr>
          <w:lang w:eastAsia="zh-CN"/>
        </w:rPr>
      </w:pPr>
      <w:r>
        <w:drawing>
          <wp:anchor distT="0" distB="0" distL="114300" distR="114300" simplePos="0" relativeHeight="251665408" behindDoc="1" locked="0" layoutInCell="1" allowOverlap="1">
            <wp:simplePos x="0" y="0"/>
            <wp:positionH relativeFrom="column">
              <wp:posOffset>1683385</wp:posOffset>
            </wp:positionH>
            <wp:positionV relativeFrom="paragraph">
              <wp:posOffset>55245</wp:posOffset>
            </wp:positionV>
            <wp:extent cx="2493645" cy="766445"/>
            <wp:effectExtent l="0" t="0" r="20955" b="33655"/>
            <wp:wrapThrough wrapText="bothSides">
              <wp:wrapPolygon>
                <wp:start x="0" y="0"/>
                <wp:lineTo x="0" y="20938"/>
                <wp:lineTo x="20461" y="20938"/>
                <wp:lineTo x="20791" y="8590"/>
                <wp:lineTo x="21451" y="3221"/>
                <wp:lineTo x="21451" y="2684"/>
                <wp:lineTo x="20461" y="0"/>
                <wp:lineTo x="0"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pic:cNvPicPr>
                  </pic:nvPicPr>
                  <pic:blipFill>
                    <a:blip r:embed="rId12"/>
                    <a:stretch>
                      <a:fillRect/>
                    </a:stretch>
                  </pic:blipFill>
                  <pic:spPr>
                    <a:xfrm>
                      <a:off x="0" y="0"/>
                      <a:ext cx="2493645" cy="766445"/>
                    </a:xfrm>
                    <a:prstGeom prst="rect">
                      <a:avLst/>
                    </a:prstGeom>
                    <a:noFill/>
                    <a:ln>
                      <a:noFill/>
                    </a:ln>
                  </pic:spPr>
                </pic:pic>
              </a:graphicData>
            </a:graphic>
          </wp:anchor>
        </w:drawing>
      </w:r>
    </w:p>
    <w:p w14:paraId="55E9E88B">
      <w:pPr>
        <w:rPr>
          <w:lang w:eastAsia="zh-CN"/>
        </w:rPr>
      </w:pPr>
    </w:p>
    <w:p w14:paraId="11198DEB">
      <w:pPr>
        <w:rPr>
          <w:lang w:eastAsia="zh-CN"/>
        </w:rPr>
      </w:pPr>
      <w:r>
        <w:drawing>
          <wp:anchor distT="0" distB="0" distL="114300" distR="114300" simplePos="0" relativeHeight="251666432" behindDoc="1" locked="0" layoutInCell="1" allowOverlap="1">
            <wp:simplePos x="0" y="0"/>
            <wp:positionH relativeFrom="column">
              <wp:posOffset>784225</wp:posOffset>
            </wp:positionH>
            <wp:positionV relativeFrom="paragraph">
              <wp:posOffset>151130</wp:posOffset>
            </wp:positionV>
            <wp:extent cx="4063365" cy="2148205"/>
            <wp:effectExtent l="0" t="0" r="70485" b="61595"/>
            <wp:wrapThrough wrapText="bothSides">
              <wp:wrapPolygon>
                <wp:start x="0" y="0"/>
                <wp:lineTo x="0" y="21262"/>
                <wp:lineTo x="10127" y="21453"/>
                <wp:lineTo x="10633" y="21453"/>
                <wp:lineTo x="21468" y="21262"/>
                <wp:lineTo x="21468" y="0"/>
                <wp:lineTo x="0" y="0"/>
              </wp:wrapPolygon>
            </wp:wrapThrough>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pic:cNvPicPr>
                      <a:picLocks noChangeAspect="1"/>
                    </pic:cNvPicPr>
                  </pic:nvPicPr>
                  <pic:blipFill>
                    <a:blip r:embed="rId13"/>
                    <a:stretch>
                      <a:fillRect/>
                    </a:stretch>
                  </pic:blipFill>
                  <pic:spPr>
                    <a:xfrm>
                      <a:off x="0" y="0"/>
                      <a:ext cx="4063365" cy="2148205"/>
                    </a:xfrm>
                    <a:prstGeom prst="rect">
                      <a:avLst/>
                    </a:prstGeom>
                    <a:noFill/>
                    <a:ln>
                      <a:noFill/>
                    </a:ln>
                  </pic:spPr>
                </pic:pic>
              </a:graphicData>
            </a:graphic>
          </wp:anchor>
        </w:drawing>
      </w:r>
    </w:p>
    <w:p w14:paraId="7796B475">
      <w:pPr>
        <w:rPr>
          <w:lang w:eastAsia="zh-CN"/>
        </w:rPr>
      </w:pPr>
    </w:p>
    <w:p w14:paraId="6BB8FA6E">
      <w:pPr>
        <w:rPr>
          <w:b/>
          <w:bCs/>
          <w:lang w:eastAsia="zh-CN"/>
        </w:rPr>
      </w:pPr>
    </w:p>
    <w:p w14:paraId="3BE45C93">
      <w:pPr>
        <w:rPr>
          <w:b/>
          <w:bCs/>
          <w:lang w:eastAsia="zh-CN"/>
        </w:rPr>
      </w:pPr>
    </w:p>
    <w:p w14:paraId="4DAD25C2">
      <w:pPr>
        <w:rPr>
          <w:b/>
          <w:bCs/>
          <w:lang w:eastAsia="zh-CN"/>
        </w:rPr>
      </w:pPr>
    </w:p>
    <w:p w14:paraId="2A757758">
      <w:pPr>
        <w:rPr>
          <w:b/>
          <w:bCs/>
          <w:lang w:eastAsia="zh-CN"/>
        </w:rPr>
      </w:pPr>
    </w:p>
    <w:p w14:paraId="3F0C78CA">
      <w:pPr>
        <w:rPr>
          <w:b/>
          <w:bCs/>
          <w:lang w:eastAsia="zh-CN"/>
        </w:rPr>
      </w:pPr>
      <w:r>
        <w:rPr>
          <w:u w:val="single"/>
          <w:lang w:eastAsia="en-US"/>
        </w:rPr>
        <w:drawing>
          <wp:anchor distT="0" distB="0" distL="114300" distR="114300" simplePos="0" relativeHeight="251660288" behindDoc="0" locked="0" layoutInCell="1" allowOverlap="1">
            <wp:simplePos x="0" y="0"/>
            <wp:positionH relativeFrom="margin">
              <wp:posOffset>793750</wp:posOffset>
            </wp:positionH>
            <wp:positionV relativeFrom="paragraph">
              <wp:posOffset>196215</wp:posOffset>
            </wp:positionV>
            <wp:extent cx="4257675" cy="1628775"/>
            <wp:effectExtent l="0" t="0" r="9525" b="952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257675" cy="1628775"/>
                    </a:xfrm>
                    <a:prstGeom prst="rect">
                      <a:avLst/>
                    </a:prstGeom>
                  </pic:spPr>
                </pic:pic>
              </a:graphicData>
            </a:graphic>
          </wp:anchor>
        </w:drawing>
      </w:r>
    </w:p>
    <w:p w14:paraId="6B95EB0E">
      <w:pPr>
        <w:rPr>
          <w:lang w:eastAsia="zh-CN"/>
        </w:rPr>
      </w:pPr>
      <w:r>
        <w:rPr>
          <w:b/>
          <w:bCs/>
          <w:lang w:eastAsia="zh-CN"/>
        </w:rPr>
        <w:t>F</w:t>
      </w:r>
      <w:r>
        <w:rPr>
          <w:rFonts w:hint="default"/>
          <w:b/>
          <w:bCs/>
          <w:lang w:val="en-US" w:eastAsia="zh-CN"/>
        </w:rPr>
        <w:t>igure</w:t>
      </w:r>
      <w:r>
        <w:rPr>
          <w:b/>
          <w:bCs/>
          <w:lang w:eastAsia="zh-CN"/>
        </w:rPr>
        <w:t xml:space="preserve"> S6.</w:t>
      </w:r>
      <w:r>
        <w:rPr>
          <w:lang w:eastAsia="zh-CN"/>
        </w:rPr>
        <w:t xml:space="preserve"> The dark measurement under short-circuit reflects the relative work functions of the materials in contact. By subtracting it from consecutive open-circuit measurements, we get potential profiles that are only affected by the photogenerated charges. For the experiment under illumination, we sequentially float both the electrodes (FTO and Au) on two different measurements. We notice that when we float the FTO electrode under illumination, the potential drops by ≈ V</w:t>
      </w:r>
      <w:r>
        <w:rPr>
          <w:vertAlign w:val="subscript"/>
          <w:lang w:eastAsia="zh-CN"/>
        </w:rPr>
        <w:t>oc</w:t>
      </w:r>
      <w:r>
        <w:rPr>
          <w:lang w:eastAsia="zh-CN"/>
        </w:rPr>
        <w:t>, whereas when floating the Au electrode the potential rises by ≈ V</w:t>
      </w:r>
      <w:r>
        <w:rPr>
          <w:vertAlign w:val="subscript"/>
          <w:lang w:eastAsia="zh-CN"/>
        </w:rPr>
        <w:t>oc</w:t>
      </w:r>
      <w:r>
        <w:rPr>
          <w:lang w:eastAsia="zh-CN"/>
        </w:rPr>
        <w:t>. This reflects the accumulation of electrons and holes to their respective contacts of the device. We can achieve the same configuration for the cell by applying a voltage ≈ V</w:t>
      </w:r>
      <w:r>
        <w:rPr>
          <w:vertAlign w:val="subscript"/>
          <w:lang w:eastAsia="zh-CN"/>
        </w:rPr>
        <w:t>oc</w:t>
      </w:r>
      <w:r>
        <w:rPr>
          <w:lang w:eastAsia="zh-CN"/>
        </w:rPr>
        <w:t xml:space="preserve"> to the Au electrode, or ≈ -V</w:t>
      </w:r>
      <w:r>
        <w:rPr>
          <w:vertAlign w:val="subscript"/>
          <w:lang w:eastAsia="zh-CN"/>
        </w:rPr>
        <w:t>oc</w:t>
      </w:r>
      <w:r>
        <w:rPr>
          <w:lang w:eastAsia="zh-CN"/>
        </w:rPr>
        <w:t xml:space="preserve"> to the FTO electrode.</w:t>
      </w:r>
    </w:p>
    <w:p w14:paraId="71677058">
      <w:pPr>
        <w:rPr>
          <w:lang w:eastAsia="zh-CN"/>
        </w:rPr>
      </w:pPr>
      <w:r>
        <w:rPr>
          <w:rFonts w:hint="default"/>
          <w:u w:val="single"/>
          <w:lang w:val="en-US" w:eastAsia="zh-CN"/>
        </w:rPr>
        <w:t xml:space="preserve">Supporting File </w:t>
      </w:r>
      <w:r>
        <w:rPr>
          <w:u w:val="single"/>
          <w:lang w:eastAsia="zh-CN"/>
        </w:rPr>
        <w:t>7</w:t>
      </w:r>
      <w:r>
        <w:rPr>
          <w:rFonts w:hint="default"/>
          <w:u w:val="single"/>
          <w:lang w:val="en-US" w:eastAsia="zh-CN"/>
        </w:rPr>
        <w:t>:</w:t>
      </w:r>
      <w:r>
        <w:rPr>
          <w:u w:val="single"/>
          <w:lang w:eastAsia="zh-CN"/>
        </w:rPr>
        <w:t xml:space="preserve"> KPFM image of the localized voltage drop at the HTL/perovskite interface (PTAA/BCF device)</w:t>
      </w:r>
    </w:p>
    <w:p w14:paraId="284DCE57">
      <w:pPr>
        <w:rPr>
          <w:lang w:eastAsia="zh-CN"/>
        </w:rPr>
      </w:pPr>
      <w:r>
        <w:rPr>
          <w:lang w:eastAsia="en-US"/>
        </w:rPr>
        <w:drawing>
          <wp:anchor distT="0" distB="0" distL="114300" distR="114300" simplePos="0" relativeHeight="251661312" behindDoc="0" locked="0" layoutInCell="1" allowOverlap="1">
            <wp:simplePos x="0" y="0"/>
            <wp:positionH relativeFrom="column">
              <wp:posOffset>1371600</wp:posOffset>
            </wp:positionH>
            <wp:positionV relativeFrom="paragraph">
              <wp:posOffset>257175</wp:posOffset>
            </wp:positionV>
            <wp:extent cx="2880360" cy="2432685"/>
            <wp:effectExtent l="0" t="0" r="15240" b="5715"/>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880360" cy="2432685"/>
                    </a:xfrm>
                    <a:prstGeom prst="rect">
                      <a:avLst/>
                    </a:prstGeom>
                    <a:noFill/>
                    <a:ln>
                      <a:noFill/>
                    </a:ln>
                  </pic:spPr>
                </pic:pic>
              </a:graphicData>
            </a:graphic>
          </wp:anchor>
        </w:drawing>
      </w:r>
    </w:p>
    <w:p w14:paraId="4BF1A883">
      <w:pPr>
        <w:rPr>
          <w:lang w:eastAsia="zh-CN"/>
        </w:rPr>
      </w:pPr>
      <w:r>
        <w:rPr>
          <w:b/>
          <w:bCs/>
          <w:lang w:eastAsia="zh-CN"/>
        </w:rPr>
        <w:t>F</w:t>
      </w:r>
      <w:r>
        <w:rPr>
          <w:rFonts w:hint="default"/>
          <w:b/>
          <w:bCs/>
          <w:lang w:val="en-US" w:eastAsia="zh-CN"/>
        </w:rPr>
        <w:t>igure</w:t>
      </w:r>
      <w:r>
        <w:rPr>
          <w:b/>
          <w:bCs/>
          <w:lang w:eastAsia="zh-CN"/>
        </w:rPr>
        <w:t xml:space="preserve"> S7.</w:t>
      </w:r>
      <w:r>
        <w:rPr>
          <w:lang w:eastAsia="zh-CN"/>
        </w:rPr>
        <w:t xml:space="preserve"> KPFM image of the PTAA/BCF cell, when different voltages are applied to the Au side. We notice how strong and localized the voltage drop is at the HTL interface, indicative of the improvement of the junction quality when BCF is incorporated into the PTAA precursor solution.</w:t>
      </w:r>
    </w:p>
    <w:p w14:paraId="10DA7951">
      <w:pPr>
        <w:rPr>
          <w:lang w:eastAsia="zh-CN"/>
        </w:rPr>
      </w:pPr>
    </w:p>
    <w:p w14:paraId="286CD618">
      <w:pPr>
        <w:rPr>
          <w:lang w:eastAsia="zh-CN"/>
        </w:rPr>
      </w:pPr>
    </w:p>
    <w:p w14:paraId="725E1D00">
      <w:pPr>
        <w:rPr>
          <w:lang w:eastAsia="zh-CN"/>
        </w:rPr>
      </w:pPr>
    </w:p>
    <w:p w14:paraId="1F8B7161">
      <w:pPr>
        <w:rPr>
          <w:lang w:eastAsia="zh-CN"/>
        </w:rPr>
      </w:pPr>
    </w:p>
    <w:p w14:paraId="43894AC3">
      <w:pPr>
        <w:rPr>
          <w:lang w:eastAsia="zh-CN"/>
        </w:rPr>
      </w:pPr>
    </w:p>
    <w:p w14:paraId="41C07C52">
      <w:pPr>
        <w:rPr>
          <w:lang w:eastAsia="zh-CN"/>
        </w:rPr>
      </w:pPr>
    </w:p>
    <w:p w14:paraId="1C2B2532">
      <w:pPr>
        <w:rPr>
          <w:lang w:eastAsia="zh-CN"/>
        </w:rPr>
      </w:pPr>
    </w:p>
    <w:p w14:paraId="77A485C9">
      <w:pPr>
        <w:rPr>
          <w:lang w:eastAsia="zh-CN"/>
        </w:rPr>
      </w:pPr>
    </w:p>
    <w:p w14:paraId="05060158">
      <w:pPr>
        <w:rPr>
          <w:lang w:eastAsia="zh-CN"/>
        </w:rPr>
      </w:pPr>
    </w:p>
    <w:p w14:paraId="526E5307">
      <w:pPr>
        <w:rPr>
          <w:lang w:eastAsia="zh-CN"/>
        </w:rPr>
      </w:pPr>
    </w:p>
    <w:p w14:paraId="7594913B">
      <w:pPr>
        <w:rPr>
          <w:u w:val="single"/>
          <w:lang w:eastAsia="zh-CN"/>
        </w:rPr>
      </w:pPr>
      <w:r>
        <w:rPr>
          <w:rFonts w:hint="default"/>
          <w:u w:val="single"/>
          <w:lang w:val="en-US" w:eastAsia="zh-CN"/>
        </w:rPr>
        <w:t xml:space="preserve">Supporting File </w:t>
      </w:r>
      <w:r>
        <w:rPr>
          <w:u w:val="single"/>
          <w:lang w:eastAsia="zh-CN"/>
        </w:rPr>
        <w:t>8</w:t>
      </w:r>
      <w:r>
        <w:rPr>
          <w:rFonts w:hint="default"/>
          <w:u w:val="single"/>
          <w:lang w:val="en-US" w:eastAsia="zh-CN"/>
        </w:rPr>
        <w:t>:</w:t>
      </w:r>
      <w:r>
        <w:rPr>
          <w:u w:val="single"/>
          <w:lang w:eastAsia="zh-CN"/>
        </w:rPr>
        <w:t xml:space="preserve"> Comparison of photopotential profiles in illuminated devices when Au or FTO electrode remains floating</w:t>
      </w:r>
    </w:p>
    <w:p w14:paraId="5F9469E3">
      <w:pPr>
        <w:rPr>
          <w:lang w:eastAsia="zh-CN"/>
        </w:rPr>
      </w:pPr>
      <w:r>
        <w:drawing>
          <wp:anchor distT="0" distB="0" distL="114300" distR="114300" simplePos="0" relativeHeight="251663360" behindDoc="0" locked="0" layoutInCell="1" allowOverlap="1">
            <wp:simplePos x="0" y="0"/>
            <wp:positionH relativeFrom="column">
              <wp:posOffset>0</wp:posOffset>
            </wp:positionH>
            <wp:positionV relativeFrom="paragraph">
              <wp:posOffset>28575</wp:posOffset>
            </wp:positionV>
            <wp:extent cx="5724525" cy="4981575"/>
            <wp:effectExtent l="0" t="0" r="9525" b="9525"/>
            <wp:wrapTopAndBottom/>
            <wp:docPr id="17" name="Picture 2" descr="hhopefully final XX3 - Copy proxopout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 descr="hhopefully final XX3 - Copy proxopoutsi"/>
                    <pic:cNvPicPr>
                      <a:picLocks noChangeAspect="1"/>
                    </pic:cNvPicPr>
                  </pic:nvPicPr>
                  <pic:blipFill>
                    <a:blip r:embed="rId16"/>
                    <a:stretch>
                      <a:fillRect/>
                    </a:stretch>
                  </pic:blipFill>
                  <pic:spPr>
                    <a:xfrm>
                      <a:off x="0" y="0"/>
                      <a:ext cx="5724525" cy="4981575"/>
                    </a:xfrm>
                    <a:prstGeom prst="rect">
                      <a:avLst/>
                    </a:prstGeom>
                    <a:noFill/>
                    <a:ln>
                      <a:noFill/>
                    </a:ln>
                  </pic:spPr>
                </pic:pic>
              </a:graphicData>
            </a:graphic>
          </wp:anchor>
        </w:drawing>
      </w:r>
    </w:p>
    <w:p w14:paraId="5BAF0134">
      <w:pPr>
        <w:rPr>
          <w:lang w:eastAsia="zh-CN"/>
        </w:rPr>
      </w:pPr>
      <w:r>
        <w:rPr>
          <w:b/>
          <w:bCs/>
          <w:lang w:eastAsia="zh-CN"/>
        </w:rPr>
        <w:t>F</w:t>
      </w:r>
      <w:r>
        <w:rPr>
          <w:rFonts w:hint="default"/>
          <w:b/>
          <w:bCs/>
          <w:lang w:val="en-US" w:eastAsia="zh-CN"/>
        </w:rPr>
        <w:t>igure</w:t>
      </w:r>
      <w:r>
        <w:rPr>
          <w:b/>
          <w:bCs/>
          <w:lang w:eastAsia="zh-CN"/>
        </w:rPr>
        <w:t xml:space="preserve"> S8.</w:t>
      </w:r>
      <w:r>
        <w:rPr>
          <w:lang w:eastAsia="zh-CN"/>
        </w:rPr>
        <w:t xml:space="preserve"> Photo-potential profiles (CPD difference of illuminated profile minus dark / short-circuit profile) are plotted for the cases where FTO and Au electrodes are floating. The two distributions nearly coincide in every case, which indicates the high resolution of FM-KPFM and the elimination of crosstalk from the measurement</w:t>
      </w:r>
      <w:r>
        <w:rPr>
          <w:rFonts w:hint="default"/>
          <w:lang w:val="en-US" w:eastAsia="zh-CN"/>
        </w:rPr>
        <w:t xml:space="preserve"> [</w:t>
      </w:r>
      <w:r>
        <w:rPr>
          <w:lang w:eastAsia="zh-CN"/>
        </w:rPr>
        <w:t>13</w:t>
      </w:r>
      <w:r>
        <w:rPr>
          <w:rFonts w:hint="default"/>
          <w:lang w:val="en-US" w:eastAsia="zh-CN"/>
        </w:rPr>
        <w:t>]</w:t>
      </w:r>
      <w:r>
        <w:rPr>
          <w:lang w:eastAsia="zh-CN"/>
        </w:rPr>
        <w:t>.</w:t>
      </w:r>
    </w:p>
    <w:p w14:paraId="63CE1CA1">
      <w:pPr>
        <w:rPr>
          <w:lang w:eastAsia="zh-CN"/>
        </w:rPr>
      </w:pPr>
    </w:p>
    <w:p w14:paraId="752D262D">
      <w:pPr>
        <w:rPr>
          <w:lang w:eastAsia="zh-CN"/>
        </w:rPr>
      </w:pPr>
    </w:p>
    <w:p w14:paraId="601E7672">
      <w:pPr>
        <w:rPr>
          <w:lang w:eastAsia="zh-CN"/>
        </w:rPr>
      </w:pPr>
    </w:p>
    <w:p w14:paraId="2D768E29">
      <w:pPr>
        <w:rPr>
          <w:lang w:eastAsia="zh-CN"/>
        </w:rPr>
      </w:pPr>
    </w:p>
    <w:p w14:paraId="300227BB">
      <w:pPr>
        <w:rPr>
          <w:lang w:eastAsia="zh-CN"/>
        </w:rPr>
      </w:pPr>
    </w:p>
    <w:p w14:paraId="59DA472E">
      <w:pPr>
        <w:rPr>
          <w:rFonts w:hint="default"/>
          <w:u w:val="single"/>
          <w:lang w:val="en-US" w:eastAsia="zh-CN"/>
        </w:rPr>
      </w:pPr>
      <w:bookmarkStart w:id="0" w:name="_GoBack"/>
      <w:bookmarkEnd w:id="0"/>
      <w:r>
        <w:rPr>
          <w:u w:val="single"/>
          <w:lang w:eastAsia="zh-CN"/>
        </w:rPr>
        <w:t>References</w:t>
      </w:r>
      <w:r>
        <w:rPr>
          <w:rFonts w:hint="default"/>
          <w:u w:val="single"/>
          <w:lang w:val="en-US" w:eastAsia="zh-CN"/>
        </w:rPr>
        <w:t xml:space="preserve"> for Supporting Information</w:t>
      </w:r>
    </w:p>
    <w:p w14:paraId="6A9DC57F">
      <w:pPr>
        <w:rPr>
          <w:lang w:eastAsia="zh-CN"/>
        </w:rPr>
      </w:pPr>
      <w:r>
        <w:rPr>
          <w:lang w:eastAsia="zh-CN"/>
        </w:rPr>
        <w:t>1</w:t>
      </w:r>
      <w:r>
        <w:rPr>
          <w:rFonts w:hint="default"/>
          <w:lang w:val="en-US" w:eastAsia="zh-CN"/>
        </w:rPr>
        <w:t>.</w:t>
      </w:r>
      <w:r>
        <w:rPr>
          <w:lang w:eastAsia="zh-CN"/>
        </w:rPr>
        <w:t xml:space="preserve"> Stephan, D. W. </w:t>
      </w:r>
      <w:r>
        <w:rPr>
          <w:rFonts w:hint="default"/>
          <w:i/>
          <w:iCs/>
          <w:lang w:eastAsia="zh-CN"/>
        </w:rPr>
        <w:t>Journal of the American Chemical Society</w:t>
      </w:r>
      <w:r>
        <w:rPr>
          <w:rFonts w:hint="default"/>
          <w:lang w:val="en-US" w:eastAsia="zh-CN"/>
        </w:rPr>
        <w:t xml:space="preserve"> </w:t>
      </w:r>
      <w:r>
        <w:rPr>
          <w:rFonts w:hint="default"/>
          <w:b/>
          <w:bCs/>
          <w:lang w:val="en-US" w:eastAsia="zh-CN"/>
        </w:rPr>
        <w:t>2015</w:t>
      </w:r>
      <w:r>
        <w:rPr>
          <w:rFonts w:hint="default"/>
          <w:lang w:eastAsia="zh-CN"/>
        </w:rPr>
        <w:t>, 137(32), 10018-10032.</w:t>
      </w:r>
    </w:p>
    <w:p w14:paraId="1E65E47B">
      <w:pPr>
        <w:rPr>
          <w:lang w:eastAsia="zh-CN"/>
        </w:rPr>
      </w:pPr>
      <w:r>
        <w:rPr>
          <w:lang w:eastAsia="zh-CN"/>
        </w:rPr>
        <w:t>2</w:t>
      </w:r>
      <w:r>
        <w:rPr>
          <w:rFonts w:hint="default"/>
          <w:lang w:val="en-US" w:eastAsia="zh-CN"/>
        </w:rPr>
        <w:t>.</w:t>
      </w:r>
      <w:r>
        <w:rPr>
          <w:lang w:eastAsia="zh-CN"/>
        </w:rPr>
        <w:t xml:space="preserve"> Stephan, D. W., Erker, G.</w:t>
      </w:r>
      <w:r>
        <w:rPr>
          <w:rFonts w:hint="default"/>
          <w:lang w:eastAsia="zh-CN"/>
        </w:rPr>
        <w:t> </w:t>
      </w:r>
      <w:r>
        <w:rPr>
          <w:rFonts w:hint="default"/>
          <w:i/>
          <w:iCs/>
          <w:lang w:eastAsia="zh-CN"/>
        </w:rPr>
        <w:t>Angewandte Chemie International Edition</w:t>
      </w:r>
      <w:r>
        <w:rPr>
          <w:rFonts w:hint="default"/>
          <w:lang w:val="en-US" w:eastAsia="zh-CN"/>
        </w:rPr>
        <w:t xml:space="preserve"> </w:t>
      </w:r>
      <w:r>
        <w:rPr>
          <w:rFonts w:hint="default"/>
          <w:b/>
          <w:bCs/>
          <w:lang w:val="en-US" w:eastAsia="zh-CN"/>
        </w:rPr>
        <w:t>2015</w:t>
      </w:r>
      <w:r>
        <w:rPr>
          <w:rFonts w:hint="default"/>
          <w:lang w:eastAsia="zh-CN"/>
        </w:rPr>
        <w:t>, 54(22), 6400-6441.</w:t>
      </w:r>
    </w:p>
    <w:p w14:paraId="7076C9ED">
      <w:pPr>
        <w:rPr>
          <w:lang w:eastAsia="zh-CN"/>
        </w:rPr>
      </w:pPr>
      <w:r>
        <w:rPr>
          <w:lang w:eastAsia="zh-CN"/>
        </w:rPr>
        <w:t>3</w:t>
      </w:r>
      <w:r>
        <w:rPr>
          <w:rFonts w:hint="default"/>
          <w:lang w:val="en-US" w:eastAsia="zh-CN"/>
        </w:rPr>
        <w:t>.</w:t>
      </w:r>
      <w:r>
        <w:rPr>
          <w:lang w:eastAsia="zh-CN"/>
        </w:rPr>
        <w:t xml:space="preserve"> Peterson, K. A., Chabinyc, M. L.</w:t>
      </w:r>
      <w:r>
        <w:rPr>
          <w:rFonts w:hint="default"/>
          <w:lang w:eastAsia="zh-CN"/>
        </w:rPr>
        <w:t> </w:t>
      </w:r>
      <w:r>
        <w:rPr>
          <w:rFonts w:hint="default"/>
          <w:i/>
          <w:iCs/>
          <w:lang w:eastAsia="zh-CN"/>
        </w:rPr>
        <w:t>Journal of Materials Chemistry C</w:t>
      </w:r>
      <w:r>
        <w:rPr>
          <w:rFonts w:hint="default"/>
          <w:lang w:val="en-US" w:eastAsia="zh-CN"/>
        </w:rPr>
        <w:t xml:space="preserve"> </w:t>
      </w:r>
      <w:r>
        <w:rPr>
          <w:rFonts w:hint="default"/>
          <w:b/>
          <w:bCs/>
          <w:lang w:val="en-US" w:eastAsia="zh-CN"/>
        </w:rPr>
        <w:t>2022</w:t>
      </w:r>
      <w:r>
        <w:rPr>
          <w:rFonts w:hint="default"/>
          <w:lang w:eastAsia="zh-CN"/>
        </w:rPr>
        <w:t>, 10(16), 6287-6295.</w:t>
      </w:r>
    </w:p>
    <w:p w14:paraId="2C0164EE">
      <w:pPr>
        <w:rPr>
          <w:lang w:eastAsia="zh-CN"/>
        </w:rPr>
      </w:pPr>
      <w:r>
        <w:rPr>
          <w:lang w:eastAsia="zh-CN"/>
        </w:rPr>
        <w:t>4</w:t>
      </w:r>
      <w:r>
        <w:rPr>
          <w:rFonts w:hint="default"/>
          <w:lang w:val="en-US" w:eastAsia="zh-CN"/>
        </w:rPr>
        <w:t>.</w:t>
      </w:r>
      <w:r>
        <w:rPr>
          <w:lang w:eastAsia="zh-CN"/>
        </w:rPr>
        <w:t xml:space="preserve"> Luo, J., Xia, J., Yang, H., Chen, L., Wan, Z., Han, F., Jia, C.</w:t>
      </w:r>
      <w:r>
        <w:rPr>
          <w:rFonts w:hint="default"/>
          <w:lang w:eastAsia="zh-CN"/>
        </w:rPr>
        <w:t> </w:t>
      </w:r>
      <w:r>
        <w:rPr>
          <w:rFonts w:hint="default"/>
          <w:i/>
          <w:iCs/>
          <w:lang w:eastAsia="zh-CN"/>
        </w:rPr>
        <w:t>Energy &amp; Environmental Science</w:t>
      </w:r>
      <w:r>
        <w:rPr>
          <w:rFonts w:hint="default"/>
          <w:i/>
          <w:iCs/>
          <w:lang w:val="en-US" w:eastAsia="zh-CN"/>
        </w:rPr>
        <w:t xml:space="preserve"> </w:t>
      </w:r>
      <w:r>
        <w:rPr>
          <w:rFonts w:hint="default"/>
          <w:b/>
          <w:bCs/>
          <w:lang w:val="en-US" w:eastAsia="zh-CN"/>
        </w:rPr>
        <w:t>2018</w:t>
      </w:r>
      <w:r>
        <w:rPr>
          <w:rFonts w:hint="default"/>
          <w:lang w:eastAsia="zh-CN"/>
        </w:rPr>
        <w:t>, 11(8), 2035-2045.</w:t>
      </w:r>
    </w:p>
    <w:p w14:paraId="6E99F078">
      <w:pPr>
        <w:rPr>
          <w:lang w:eastAsia="zh-CN"/>
        </w:rPr>
      </w:pPr>
      <w:r>
        <w:rPr>
          <w:lang w:eastAsia="zh-CN"/>
        </w:rPr>
        <w:t>5</w:t>
      </w:r>
      <w:r>
        <w:rPr>
          <w:rFonts w:hint="default"/>
          <w:lang w:val="en-US" w:eastAsia="zh-CN"/>
        </w:rPr>
        <w:t>.</w:t>
      </w:r>
      <w:r>
        <w:rPr>
          <w:lang w:eastAsia="zh-CN"/>
        </w:rPr>
        <w:t xml:space="preserve"> Ye, T., Chen, W., Jin, S., Hao, S., Zhang, X., Liu, H., He, D.</w:t>
      </w:r>
      <w:r>
        <w:rPr>
          <w:rFonts w:hint="default"/>
          <w:lang w:eastAsia="zh-CN"/>
        </w:rPr>
        <w:t> </w:t>
      </w:r>
      <w:r>
        <w:rPr>
          <w:rFonts w:hint="default"/>
          <w:i/>
          <w:iCs/>
          <w:lang w:eastAsia="zh-CN"/>
        </w:rPr>
        <w:t>ACS applied materials &amp; interfaces</w:t>
      </w:r>
      <w:r>
        <w:rPr>
          <w:rFonts w:hint="default"/>
          <w:lang w:val="en-US" w:eastAsia="zh-CN"/>
        </w:rPr>
        <w:t xml:space="preserve"> </w:t>
      </w:r>
      <w:r>
        <w:rPr>
          <w:rFonts w:hint="default"/>
          <w:b/>
          <w:bCs/>
          <w:lang w:val="en-US" w:eastAsia="zh-CN"/>
        </w:rPr>
        <w:t>2019</w:t>
      </w:r>
      <w:r>
        <w:rPr>
          <w:rFonts w:hint="default"/>
          <w:lang w:eastAsia="zh-CN"/>
        </w:rPr>
        <w:t>, 11(15), 14004-14010.</w:t>
      </w:r>
    </w:p>
    <w:p w14:paraId="73312D05">
      <w:pPr>
        <w:rPr>
          <w:lang w:eastAsia="zh-CN"/>
        </w:rPr>
      </w:pPr>
      <w:r>
        <w:rPr>
          <w:lang w:eastAsia="zh-CN"/>
        </w:rPr>
        <w:t>6</w:t>
      </w:r>
      <w:r>
        <w:rPr>
          <w:rFonts w:hint="default"/>
          <w:lang w:val="en-US" w:eastAsia="zh-CN"/>
        </w:rPr>
        <w:t>.</w:t>
      </w:r>
      <w:r>
        <w:rPr>
          <w:lang w:eastAsia="zh-CN"/>
        </w:rPr>
        <w:t xml:space="preserve"> Koh, C. W., Heo, J. H., Uddin, M. A., Kwon, Y. W., Choi, D. H., Im, S. H., Woo, H. Y.</w:t>
      </w:r>
      <w:r>
        <w:rPr>
          <w:rFonts w:hint="default"/>
          <w:lang w:eastAsia="zh-CN"/>
        </w:rPr>
        <w:t> </w:t>
      </w:r>
      <w:r>
        <w:rPr>
          <w:rFonts w:hint="default"/>
          <w:i/>
          <w:iCs/>
          <w:lang w:eastAsia="zh-CN"/>
        </w:rPr>
        <w:t>ACS applied materials &amp; interfaces</w:t>
      </w:r>
      <w:r>
        <w:rPr>
          <w:rFonts w:hint="default"/>
          <w:lang w:val="en-US" w:eastAsia="zh-CN"/>
        </w:rPr>
        <w:t xml:space="preserve"> </w:t>
      </w:r>
      <w:r>
        <w:rPr>
          <w:rFonts w:hint="default"/>
          <w:b/>
          <w:bCs/>
          <w:lang w:val="en-US" w:eastAsia="zh-CN"/>
        </w:rPr>
        <w:t>2017</w:t>
      </w:r>
      <w:r>
        <w:rPr>
          <w:rFonts w:hint="default"/>
          <w:lang w:eastAsia="zh-CN"/>
        </w:rPr>
        <w:t>, 9(50), 43846-43854.</w:t>
      </w:r>
    </w:p>
    <w:p w14:paraId="77087B90">
      <w:pPr>
        <w:rPr>
          <w:lang w:eastAsia="zh-CN"/>
        </w:rPr>
      </w:pPr>
      <w:r>
        <w:rPr>
          <w:lang w:eastAsia="zh-CN"/>
        </w:rPr>
        <w:t>7</w:t>
      </w:r>
      <w:r>
        <w:rPr>
          <w:rFonts w:hint="default"/>
          <w:lang w:val="en-US" w:eastAsia="zh-CN"/>
        </w:rPr>
        <w:t>.</w:t>
      </w:r>
      <w:r>
        <w:rPr>
          <w:lang w:eastAsia="zh-CN"/>
        </w:rPr>
        <w:t xml:space="preserve"> Khadka, D. B., Shirai, Y., Yanagida, M., Ryan, J. W., Miyano, K.</w:t>
      </w:r>
      <w:r>
        <w:rPr>
          <w:rFonts w:hint="default"/>
          <w:lang w:eastAsia="zh-CN"/>
        </w:rPr>
        <w:t> </w:t>
      </w:r>
      <w:r>
        <w:rPr>
          <w:rFonts w:hint="default"/>
          <w:i/>
          <w:iCs/>
          <w:lang w:eastAsia="zh-CN"/>
        </w:rPr>
        <w:t>Journal of Materials Chemistry C</w:t>
      </w:r>
      <w:r>
        <w:rPr>
          <w:rFonts w:hint="default"/>
          <w:lang w:val="en-US" w:eastAsia="zh-CN"/>
        </w:rPr>
        <w:t xml:space="preserve"> </w:t>
      </w:r>
      <w:r>
        <w:rPr>
          <w:rFonts w:hint="default"/>
          <w:b/>
          <w:bCs/>
          <w:lang w:val="en-US" w:eastAsia="zh-CN"/>
        </w:rPr>
        <w:t>2017</w:t>
      </w:r>
      <w:r>
        <w:rPr>
          <w:rFonts w:hint="default"/>
          <w:lang w:eastAsia="zh-CN"/>
        </w:rPr>
        <w:t>, 5(34), 8819-8827.</w:t>
      </w:r>
    </w:p>
    <w:p w14:paraId="316CF2EC">
      <w:pPr>
        <w:rPr>
          <w:lang w:eastAsia="zh-CN"/>
        </w:rPr>
      </w:pPr>
      <w:r>
        <w:rPr>
          <w:lang w:eastAsia="zh-CN"/>
        </w:rPr>
        <w:t>8</w:t>
      </w:r>
      <w:r>
        <w:rPr>
          <w:rFonts w:hint="default"/>
          <w:lang w:val="en-US" w:eastAsia="zh-CN"/>
        </w:rPr>
        <w:t>.</w:t>
      </w:r>
      <w:r>
        <w:rPr>
          <w:lang w:eastAsia="zh-CN"/>
        </w:rPr>
        <w:t xml:space="preserve"> Li, Z., Tinkham, J., Schulz, P., Yang, M., Kim, D. H., Berry, J., Zhu, K.</w:t>
      </w:r>
      <w:r>
        <w:rPr>
          <w:rFonts w:hint="default"/>
          <w:lang w:eastAsia="zh-CN"/>
        </w:rPr>
        <w:t> </w:t>
      </w:r>
      <w:r>
        <w:rPr>
          <w:rFonts w:hint="default"/>
          <w:i/>
          <w:iCs/>
          <w:lang w:eastAsia="zh-CN"/>
        </w:rPr>
        <w:t>Advanced Energy Materials</w:t>
      </w:r>
      <w:r>
        <w:rPr>
          <w:rFonts w:hint="default"/>
          <w:i/>
          <w:iCs/>
          <w:lang w:val="en-US" w:eastAsia="zh-CN"/>
        </w:rPr>
        <w:t xml:space="preserve"> </w:t>
      </w:r>
      <w:r>
        <w:rPr>
          <w:rFonts w:hint="default"/>
          <w:b/>
          <w:bCs/>
          <w:lang w:val="en-US" w:eastAsia="zh-CN"/>
        </w:rPr>
        <w:t>2016</w:t>
      </w:r>
      <w:r>
        <w:rPr>
          <w:rFonts w:hint="default"/>
          <w:lang w:eastAsia="zh-CN"/>
        </w:rPr>
        <w:t>, 7(NREL/JA-5900-66721).</w:t>
      </w:r>
    </w:p>
    <w:p w14:paraId="6E75AEE0">
      <w:pPr>
        <w:rPr>
          <w:lang w:eastAsia="zh-CN"/>
        </w:rPr>
      </w:pPr>
      <w:r>
        <w:rPr>
          <w:lang w:eastAsia="zh-CN"/>
        </w:rPr>
        <w:t>9</w:t>
      </w:r>
      <w:r>
        <w:rPr>
          <w:rFonts w:hint="default"/>
          <w:lang w:val="en-US" w:eastAsia="zh-CN"/>
        </w:rPr>
        <w:t>.</w:t>
      </w:r>
      <w:r>
        <w:rPr>
          <w:lang w:eastAsia="zh-CN"/>
        </w:rPr>
        <w:t xml:space="preserve"> Ye, T., Wang, J., Chen, W., Yang, Y., He, D.</w:t>
      </w:r>
      <w:r>
        <w:rPr>
          <w:rFonts w:hint="default"/>
          <w:lang w:eastAsia="zh-CN"/>
        </w:rPr>
        <w:t> </w:t>
      </w:r>
      <w:r>
        <w:rPr>
          <w:rFonts w:hint="default"/>
          <w:i/>
          <w:iCs/>
          <w:lang w:eastAsia="zh-CN"/>
        </w:rPr>
        <w:t>ACS Applied Materials &amp; Interfaces</w:t>
      </w:r>
      <w:r>
        <w:rPr>
          <w:rFonts w:hint="default"/>
          <w:i/>
          <w:iCs/>
          <w:lang w:val="en-US" w:eastAsia="zh-CN"/>
        </w:rPr>
        <w:t xml:space="preserve"> </w:t>
      </w:r>
      <w:r>
        <w:rPr>
          <w:rFonts w:hint="default"/>
          <w:b/>
          <w:bCs/>
          <w:lang w:val="en-US" w:eastAsia="zh-CN"/>
        </w:rPr>
        <w:t>2017</w:t>
      </w:r>
      <w:r>
        <w:rPr>
          <w:rFonts w:hint="default"/>
          <w:lang w:eastAsia="zh-CN"/>
        </w:rPr>
        <w:t>, 9(21), 17923-17931.</w:t>
      </w:r>
    </w:p>
    <w:p w14:paraId="1BDDE4CC">
      <w:pPr>
        <w:rPr>
          <w:lang w:eastAsia="zh-CN"/>
        </w:rPr>
      </w:pPr>
      <w:r>
        <w:rPr>
          <w:lang w:eastAsia="zh-CN"/>
        </w:rPr>
        <w:t>10</w:t>
      </w:r>
      <w:r>
        <w:rPr>
          <w:rFonts w:hint="default"/>
          <w:lang w:val="en-US" w:eastAsia="zh-CN"/>
        </w:rPr>
        <w:t>.</w:t>
      </w:r>
      <w:r>
        <w:rPr>
          <w:lang w:eastAsia="zh-CN"/>
        </w:rPr>
        <w:t xml:space="preserve"> Ren, G., Han, W., Deng, Y., Wu, W., Li, Z., Guo, J. Guo, W.</w:t>
      </w:r>
      <w:r>
        <w:rPr>
          <w:rFonts w:hint="default"/>
          <w:lang w:eastAsia="zh-CN"/>
        </w:rPr>
        <w:t> </w:t>
      </w:r>
      <w:r>
        <w:rPr>
          <w:rFonts w:hint="default"/>
          <w:i/>
          <w:iCs/>
          <w:lang w:eastAsia="zh-CN"/>
        </w:rPr>
        <w:t>Journal of Materials Chemistry A</w:t>
      </w:r>
      <w:r>
        <w:rPr>
          <w:rFonts w:hint="default"/>
          <w:i/>
          <w:iCs/>
          <w:lang w:val="en-US" w:eastAsia="zh-CN"/>
        </w:rPr>
        <w:t xml:space="preserve"> </w:t>
      </w:r>
      <w:r>
        <w:rPr>
          <w:rFonts w:hint="default"/>
          <w:b/>
          <w:bCs/>
          <w:lang w:val="en-US" w:eastAsia="zh-CN"/>
        </w:rPr>
        <w:t>2021</w:t>
      </w:r>
      <w:r>
        <w:rPr>
          <w:rFonts w:hint="default"/>
          <w:lang w:eastAsia="zh-CN"/>
        </w:rPr>
        <w:t>, 9(8), 4589-4625.</w:t>
      </w:r>
    </w:p>
    <w:p w14:paraId="7E3829C4">
      <w:pPr>
        <w:rPr>
          <w:lang w:eastAsia="zh-CN"/>
        </w:rPr>
      </w:pPr>
      <w:r>
        <w:rPr>
          <w:lang w:eastAsia="zh-CN"/>
        </w:rPr>
        <w:t>11</w:t>
      </w:r>
      <w:r>
        <w:rPr>
          <w:rFonts w:hint="default"/>
          <w:lang w:val="en-US" w:eastAsia="zh-CN"/>
        </w:rPr>
        <w:t>.</w:t>
      </w:r>
      <w:r>
        <w:rPr>
          <w:lang w:eastAsia="zh-CN"/>
        </w:rPr>
        <w:t xml:space="preserve"> Abate, A., Leijtens, T., Pathak, S., Teuscher, J., Avolio, R., Errico, M. E., Snaith, H. J. </w:t>
      </w:r>
      <w:r>
        <w:rPr>
          <w:rFonts w:hint="default"/>
          <w:i/>
          <w:iCs/>
          <w:lang w:eastAsia="zh-CN"/>
        </w:rPr>
        <w:t>Physical Chemistry Chemical Physics</w:t>
      </w:r>
      <w:r>
        <w:rPr>
          <w:rFonts w:hint="default"/>
          <w:lang w:val="en-US" w:eastAsia="zh-CN"/>
        </w:rPr>
        <w:t xml:space="preserve"> </w:t>
      </w:r>
      <w:r>
        <w:rPr>
          <w:rFonts w:hint="default"/>
          <w:b/>
          <w:bCs/>
          <w:lang w:val="en-US" w:eastAsia="zh-CN"/>
        </w:rPr>
        <w:t>2013</w:t>
      </w:r>
      <w:r>
        <w:rPr>
          <w:rFonts w:hint="default"/>
          <w:lang w:eastAsia="zh-CN"/>
        </w:rPr>
        <w:t>, 15(7), 2572-2579.</w:t>
      </w:r>
    </w:p>
    <w:p w14:paraId="0F503D78">
      <w:pPr>
        <w:rPr>
          <w:lang w:eastAsia="zh-CN"/>
        </w:rPr>
      </w:pPr>
      <w:r>
        <w:rPr>
          <w:lang w:eastAsia="zh-CN"/>
        </w:rPr>
        <w:t>12</w:t>
      </w:r>
      <w:r>
        <w:rPr>
          <w:rFonts w:hint="default"/>
          <w:lang w:val="en-US" w:eastAsia="zh-CN"/>
        </w:rPr>
        <w:t>.</w:t>
      </w:r>
      <w:r>
        <w:rPr>
          <w:lang w:eastAsia="zh-CN"/>
        </w:rPr>
        <w:t xml:space="preserve"> Liu, J., Liu, W., Aydin, E., Harrison, G. T., Isikgor, F. H., Yang, X., De Wolf, S.</w:t>
      </w:r>
      <w:r>
        <w:rPr>
          <w:rFonts w:hint="default"/>
          <w:lang w:eastAsia="zh-CN"/>
        </w:rPr>
        <w:t> </w:t>
      </w:r>
      <w:r>
        <w:rPr>
          <w:rFonts w:hint="default"/>
          <w:i/>
          <w:iCs/>
          <w:lang w:eastAsia="zh-CN"/>
        </w:rPr>
        <w:t>ACS applied materials &amp; interfaces</w:t>
      </w:r>
      <w:r>
        <w:rPr>
          <w:rFonts w:hint="default"/>
          <w:i/>
          <w:iCs/>
          <w:lang w:val="en-US" w:eastAsia="zh-CN"/>
        </w:rPr>
        <w:t xml:space="preserve"> </w:t>
      </w:r>
      <w:r>
        <w:rPr>
          <w:rFonts w:hint="default"/>
          <w:b/>
          <w:bCs/>
          <w:lang w:val="en-US" w:eastAsia="zh-CN"/>
        </w:rPr>
        <w:t>2020</w:t>
      </w:r>
      <w:r>
        <w:rPr>
          <w:rFonts w:hint="default"/>
          <w:lang w:eastAsia="zh-CN"/>
        </w:rPr>
        <w:t>, 12(21), 23874-23884.</w:t>
      </w:r>
    </w:p>
    <w:p w14:paraId="6866C78B">
      <w:pPr>
        <w:rPr>
          <w:lang w:eastAsia="zh-CN"/>
        </w:rPr>
      </w:pPr>
      <w:r>
        <w:rPr>
          <w:lang w:eastAsia="zh-CN"/>
        </w:rPr>
        <w:t>13</w:t>
      </w:r>
      <w:r>
        <w:rPr>
          <w:rFonts w:hint="default"/>
          <w:lang w:val="en-US" w:eastAsia="zh-CN"/>
        </w:rPr>
        <w:t>.</w:t>
      </w:r>
      <w:r>
        <w:rPr>
          <w:lang w:eastAsia="zh-CN"/>
        </w:rPr>
        <w:t xml:space="preserve"> Bergmann, V. W., Guo, Y., Tanaka, H., Hermes, I. M., Li, D., Klasen, A., Weber, S. A. </w:t>
      </w:r>
      <w:r>
        <w:rPr>
          <w:rFonts w:hint="default"/>
          <w:i/>
          <w:iCs/>
          <w:lang w:eastAsia="zh-CN"/>
        </w:rPr>
        <w:t>ACS applied materials &amp; interfaces</w:t>
      </w:r>
      <w:r>
        <w:rPr>
          <w:rFonts w:hint="default"/>
          <w:lang w:val="en-US" w:eastAsia="zh-CN"/>
        </w:rPr>
        <w:t xml:space="preserve"> </w:t>
      </w:r>
      <w:r>
        <w:rPr>
          <w:rFonts w:hint="default"/>
          <w:b/>
          <w:bCs/>
          <w:lang w:val="en-US" w:eastAsia="zh-CN"/>
        </w:rPr>
        <w:t>2016</w:t>
      </w:r>
      <w:r>
        <w:rPr>
          <w:rFonts w:hint="default"/>
          <w:lang w:eastAsia="zh-CN"/>
        </w:rPr>
        <w:t>, 8(30), 19402-19409.</w:t>
      </w:r>
    </w:p>
    <w:p w14:paraId="5BD48655"/>
    <w:p w14:paraId="1F8CEB4B"/>
    <w:p w14:paraId="0E8F67E6"/>
    <w:p w14:paraId="61751159">
      <w:pPr>
        <w:pStyle w:val="17"/>
      </w:pPr>
    </w:p>
    <w:sectPr>
      <w:footerReference r:id="rId5" w:type="default"/>
      <w:pgSz w:w="11906" w:h="16838"/>
      <w:pgMar w:top="1417" w:right="1417" w:bottom="1134"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D1D50">
    <w:pPr>
      <w:pStyle w:val="9"/>
      <w:jc w:val="center"/>
    </w:pPr>
    <w:r>
      <w:fldChar w:fldCharType="begin"/>
    </w:r>
    <w:r>
      <w:instrText xml:space="preserve">PAGE   \* MERGEFORMAT</w:instrText>
    </w:r>
    <w:r>
      <w:fldChar w:fldCharType="separate"/>
    </w:r>
    <w:r>
      <w:rPr>
        <w:lang w:val="de-DE"/>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removePersonalInformation/>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83D"/>
    <w:rsid w:val="000B1C4F"/>
    <w:rsid w:val="000F180D"/>
    <w:rsid w:val="00137071"/>
    <w:rsid w:val="00194DF5"/>
    <w:rsid w:val="001D0068"/>
    <w:rsid w:val="001D5C1D"/>
    <w:rsid w:val="00260C3A"/>
    <w:rsid w:val="002A2299"/>
    <w:rsid w:val="003D0D7B"/>
    <w:rsid w:val="00401C23"/>
    <w:rsid w:val="00453124"/>
    <w:rsid w:val="004633FD"/>
    <w:rsid w:val="00464BA9"/>
    <w:rsid w:val="004C0B59"/>
    <w:rsid w:val="00575CC1"/>
    <w:rsid w:val="00593C87"/>
    <w:rsid w:val="005A283D"/>
    <w:rsid w:val="006C1922"/>
    <w:rsid w:val="006F1051"/>
    <w:rsid w:val="006F6BBD"/>
    <w:rsid w:val="007D2FBF"/>
    <w:rsid w:val="007F1209"/>
    <w:rsid w:val="0089716E"/>
    <w:rsid w:val="009543A4"/>
    <w:rsid w:val="00957C0A"/>
    <w:rsid w:val="009714AE"/>
    <w:rsid w:val="00995D29"/>
    <w:rsid w:val="00AE5626"/>
    <w:rsid w:val="00B172AB"/>
    <w:rsid w:val="00B43DB7"/>
    <w:rsid w:val="00BA0FD9"/>
    <w:rsid w:val="00C33DCB"/>
    <w:rsid w:val="00CE1345"/>
    <w:rsid w:val="00D1262F"/>
    <w:rsid w:val="00E60158"/>
    <w:rsid w:val="00EC78C2"/>
    <w:rsid w:val="00FC201E"/>
    <w:rsid w:val="00FF36E9"/>
    <w:rsid w:val="01941722"/>
    <w:rsid w:val="02016E92"/>
    <w:rsid w:val="048332A4"/>
    <w:rsid w:val="0C4E5BBE"/>
    <w:rsid w:val="10302909"/>
    <w:rsid w:val="116A50A8"/>
    <w:rsid w:val="13D0704E"/>
    <w:rsid w:val="19D04AEF"/>
    <w:rsid w:val="1D115179"/>
    <w:rsid w:val="1D7238DD"/>
    <w:rsid w:val="1F461B16"/>
    <w:rsid w:val="215121AB"/>
    <w:rsid w:val="23A5670A"/>
    <w:rsid w:val="26630E46"/>
    <w:rsid w:val="28EC2138"/>
    <w:rsid w:val="32451D43"/>
    <w:rsid w:val="357A34CD"/>
    <w:rsid w:val="38AE65C1"/>
    <w:rsid w:val="3BB167CB"/>
    <w:rsid w:val="3E5D4559"/>
    <w:rsid w:val="4026664B"/>
    <w:rsid w:val="41877134"/>
    <w:rsid w:val="42A00C95"/>
    <w:rsid w:val="49AA20BF"/>
    <w:rsid w:val="4AB904B0"/>
    <w:rsid w:val="4AEC633A"/>
    <w:rsid w:val="50D50CDB"/>
    <w:rsid w:val="50F65D73"/>
    <w:rsid w:val="53A712C8"/>
    <w:rsid w:val="56BE1C40"/>
    <w:rsid w:val="588C14D4"/>
    <w:rsid w:val="59922689"/>
    <w:rsid w:val="5AEE3770"/>
    <w:rsid w:val="5AEF673F"/>
    <w:rsid w:val="5B1818BB"/>
    <w:rsid w:val="5B3F383A"/>
    <w:rsid w:val="5C7A27A4"/>
    <w:rsid w:val="61343606"/>
    <w:rsid w:val="62345C95"/>
    <w:rsid w:val="68A942EF"/>
    <w:rsid w:val="68BF6F6F"/>
    <w:rsid w:val="6A5F281E"/>
    <w:rsid w:val="6C7E4CAB"/>
    <w:rsid w:val="6E1B568E"/>
    <w:rsid w:val="70396091"/>
    <w:rsid w:val="70AC166A"/>
    <w:rsid w:val="71C33899"/>
    <w:rsid w:val="73B34DEF"/>
    <w:rsid w:val="7556678F"/>
    <w:rsid w:val="7BE505D2"/>
    <w:rsid w:val="7D1F26B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jc w:val="both"/>
    </w:pPr>
    <w:rPr>
      <w:rFonts w:ascii="Arial" w:hAnsi="Arial" w:cs="Arial" w:eastAsiaTheme="minorHAnsi"/>
      <w:sz w:val="24"/>
      <w:szCs w:val="24"/>
      <w:lang w:val="en-US" w:eastAsia="en-US" w:bidi="ar-SA"/>
    </w:rPr>
  </w:style>
  <w:style w:type="paragraph" w:styleId="2">
    <w:name w:val="heading 1"/>
    <w:basedOn w:val="1"/>
    <w:next w:val="1"/>
    <w:link w:val="19"/>
    <w:qFormat/>
    <w:uiPriority w:val="9"/>
    <w:pPr>
      <w:keepNext/>
      <w:keepLines/>
      <w:spacing w:before="480"/>
      <w:outlineLvl w:val="0"/>
    </w:pPr>
    <w:rPr>
      <w:rFonts w:eastAsia="Times New Roman"/>
      <w:b/>
      <w:bCs/>
      <w:sz w:val="36"/>
      <w:szCs w:val="36"/>
    </w:rPr>
  </w:style>
  <w:style w:type="paragraph" w:styleId="3">
    <w:name w:val="heading 2"/>
    <w:basedOn w:val="1"/>
    <w:next w:val="1"/>
    <w:link w:val="20"/>
    <w:unhideWhenUsed/>
    <w:qFormat/>
    <w:uiPriority w:val="9"/>
    <w:pPr>
      <w:keepNext/>
      <w:keepLines/>
      <w:spacing w:before="200"/>
      <w:outlineLvl w:val="1"/>
    </w:pPr>
    <w:rPr>
      <w:rFonts w:eastAsia="Times New Roman"/>
      <w:b/>
      <w:bCs/>
      <w:sz w:val="28"/>
      <w:szCs w:val="28"/>
    </w:rPr>
  </w:style>
  <w:style w:type="paragraph" w:styleId="4">
    <w:name w:val="heading 3"/>
    <w:basedOn w:val="1"/>
    <w:next w:val="1"/>
    <w:link w:val="21"/>
    <w:unhideWhenUsed/>
    <w:qFormat/>
    <w:uiPriority w:val="9"/>
    <w:pPr>
      <w:keepNext/>
      <w:keepLines/>
      <w:spacing w:before="200"/>
      <w:outlineLvl w:val="2"/>
    </w:pPr>
    <w:rPr>
      <w:rFonts w:eastAsia="Times New Roman"/>
      <w:b/>
      <w:bCs/>
    </w:rPr>
  </w:style>
  <w:style w:type="paragraph" w:styleId="5">
    <w:name w:val="heading 4"/>
    <w:basedOn w:val="1"/>
    <w:next w:val="1"/>
    <w:qFormat/>
    <w:uiPriority w:val="0"/>
    <w:pPr>
      <w:keepNext/>
      <w:spacing w:before="240" w:after="60"/>
      <w:outlineLvl w:val="3"/>
    </w:pPr>
    <w:rPr>
      <w:b/>
      <w:bCs/>
      <w:sz w:val="28"/>
      <w:szCs w:val="28"/>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18"/>
    <w:semiHidden/>
    <w:unhideWhenUsed/>
    <w:qFormat/>
    <w:uiPriority w:val="99"/>
    <w:rPr>
      <w:rFonts w:ascii="Segoe UI" w:hAnsi="Segoe UI" w:cs="Segoe UI"/>
      <w:sz w:val="18"/>
      <w:szCs w:val="18"/>
    </w:rPr>
  </w:style>
  <w:style w:type="paragraph" w:styleId="9">
    <w:name w:val="footer"/>
    <w:basedOn w:val="1"/>
    <w:link w:val="24"/>
    <w:unhideWhenUsed/>
    <w:qFormat/>
    <w:uiPriority w:val="99"/>
    <w:pPr>
      <w:tabs>
        <w:tab w:val="center" w:pos="4536"/>
        <w:tab w:val="right" w:pos="9072"/>
      </w:tabs>
      <w:spacing w:line="240" w:lineRule="auto"/>
    </w:pPr>
  </w:style>
  <w:style w:type="paragraph" w:styleId="10">
    <w:name w:val="header"/>
    <w:basedOn w:val="1"/>
    <w:link w:val="23"/>
    <w:unhideWhenUsed/>
    <w:qFormat/>
    <w:uiPriority w:val="99"/>
    <w:pPr>
      <w:tabs>
        <w:tab w:val="center" w:pos="4536"/>
        <w:tab w:val="right" w:pos="9072"/>
      </w:tabs>
      <w:spacing w:line="240" w:lineRule="auto"/>
    </w:pPr>
  </w:style>
  <w:style w:type="paragraph" w:styleId="11">
    <w:name w:val="Normal (Web)"/>
    <w:basedOn w:val="1"/>
    <w:semiHidden/>
    <w:qFormat/>
    <w:uiPriority w:val="0"/>
    <w:pPr>
      <w:spacing w:before="100" w:beforeAutospacing="1" w:after="100" w:afterAutospacing="1"/>
    </w:pPr>
  </w:style>
  <w:style w:type="character" w:styleId="12">
    <w:name w:val="page number"/>
    <w:basedOn w:val="6"/>
    <w:semiHidden/>
    <w:qFormat/>
    <w:uiPriority w:val="0"/>
  </w:style>
  <w:style w:type="paragraph" w:styleId="13">
    <w:name w:val="Title"/>
    <w:basedOn w:val="1"/>
    <w:next w:val="1"/>
    <w:link w:val="22"/>
    <w:qFormat/>
    <w:uiPriority w:val="10"/>
    <w:pPr>
      <w:spacing w:before="240" w:after="60"/>
      <w:jc w:val="center"/>
      <w:outlineLvl w:val="0"/>
    </w:pPr>
    <w:rPr>
      <w:rFonts w:asciiTheme="majorHAnsi" w:hAnsiTheme="majorHAnsi" w:eastAsiaTheme="majorEastAsia" w:cstheme="majorBidi"/>
      <w:b/>
      <w:bCs/>
      <w:kern w:val="28"/>
      <w:sz w:val="32"/>
      <w:szCs w:val="32"/>
    </w:rPr>
  </w:style>
  <w:style w:type="paragraph" w:customStyle="1" w:styleId="14">
    <w:name w:val="Heading 11"/>
    <w:basedOn w:val="1"/>
    <w:qFormat/>
    <w:uiPriority w:val="0"/>
    <w:rPr>
      <w:b/>
      <w:sz w:val="36"/>
      <w:szCs w:val="36"/>
      <w:lang w:val="en-GB"/>
    </w:rPr>
  </w:style>
  <w:style w:type="paragraph" w:customStyle="1" w:styleId="15">
    <w:name w:val="Heading 21"/>
    <w:basedOn w:val="1"/>
    <w:qFormat/>
    <w:uiPriority w:val="0"/>
    <w:rPr>
      <w:b/>
      <w:sz w:val="28"/>
      <w:szCs w:val="28"/>
      <w:lang w:val="en-GB"/>
    </w:rPr>
  </w:style>
  <w:style w:type="paragraph" w:customStyle="1" w:styleId="16">
    <w:name w:val="Heading 31"/>
    <w:basedOn w:val="1"/>
    <w:qFormat/>
    <w:uiPriority w:val="0"/>
    <w:rPr>
      <w:b/>
      <w:lang w:val="en-GB"/>
    </w:rPr>
  </w:style>
  <w:style w:type="paragraph" w:customStyle="1" w:styleId="17">
    <w:name w:val="Main Text"/>
    <w:basedOn w:val="1"/>
    <w:qFormat/>
    <w:uiPriority w:val="0"/>
    <w:rPr>
      <w:lang w:val="en-GB"/>
    </w:rPr>
  </w:style>
  <w:style w:type="character" w:customStyle="1" w:styleId="18">
    <w:name w:val="Balloon Text Char"/>
    <w:link w:val="8"/>
    <w:semiHidden/>
    <w:qFormat/>
    <w:uiPriority w:val="99"/>
    <w:rPr>
      <w:rFonts w:ascii="Segoe UI" w:hAnsi="Segoe UI" w:cs="Segoe UI"/>
      <w:sz w:val="18"/>
      <w:szCs w:val="18"/>
      <w:lang w:val="de-DE" w:eastAsia="de-DE"/>
    </w:rPr>
  </w:style>
  <w:style w:type="character" w:customStyle="1" w:styleId="19">
    <w:name w:val="Heading 1 Char"/>
    <w:link w:val="2"/>
    <w:qFormat/>
    <w:uiPriority w:val="9"/>
    <w:rPr>
      <w:rFonts w:ascii="Arial" w:hAnsi="Arial" w:cs="Arial"/>
      <w:b/>
      <w:bCs/>
      <w:sz w:val="36"/>
      <w:szCs w:val="36"/>
      <w:lang w:val="en-US" w:eastAsia="en-US"/>
    </w:rPr>
  </w:style>
  <w:style w:type="character" w:customStyle="1" w:styleId="20">
    <w:name w:val="Heading 2 Char"/>
    <w:link w:val="3"/>
    <w:qFormat/>
    <w:uiPriority w:val="9"/>
    <w:rPr>
      <w:rFonts w:ascii="Arial" w:hAnsi="Arial" w:cs="Arial"/>
      <w:b/>
      <w:bCs/>
      <w:sz w:val="28"/>
      <w:szCs w:val="28"/>
      <w:lang w:val="en-US" w:eastAsia="en-US"/>
    </w:rPr>
  </w:style>
  <w:style w:type="character" w:customStyle="1" w:styleId="21">
    <w:name w:val="Heading 3 Char"/>
    <w:link w:val="4"/>
    <w:qFormat/>
    <w:uiPriority w:val="9"/>
    <w:rPr>
      <w:rFonts w:ascii="Arial" w:hAnsi="Arial" w:cs="Arial"/>
      <w:b/>
      <w:bCs/>
      <w:sz w:val="24"/>
      <w:szCs w:val="24"/>
      <w:lang w:val="en-US" w:eastAsia="en-US"/>
    </w:rPr>
  </w:style>
  <w:style w:type="character" w:customStyle="1" w:styleId="22">
    <w:name w:val="Title Char"/>
    <w:basedOn w:val="6"/>
    <w:link w:val="13"/>
    <w:qFormat/>
    <w:uiPriority w:val="10"/>
    <w:rPr>
      <w:rFonts w:asciiTheme="majorHAnsi" w:hAnsiTheme="majorHAnsi" w:eastAsiaTheme="majorEastAsia" w:cstheme="majorBidi"/>
      <w:b/>
      <w:bCs/>
      <w:kern w:val="28"/>
      <w:sz w:val="32"/>
      <w:szCs w:val="32"/>
      <w:lang w:val="en-US" w:eastAsia="en-US"/>
    </w:rPr>
  </w:style>
  <w:style w:type="character" w:customStyle="1" w:styleId="23">
    <w:name w:val="Header Char"/>
    <w:basedOn w:val="6"/>
    <w:link w:val="10"/>
    <w:qFormat/>
    <w:uiPriority w:val="99"/>
    <w:rPr>
      <w:rFonts w:ascii="Arial" w:hAnsi="Arial" w:cs="Arial" w:eastAsiaTheme="minorHAnsi"/>
      <w:sz w:val="24"/>
      <w:szCs w:val="24"/>
      <w:lang w:val="en-US" w:eastAsia="en-US"/>
    </w:rPr>
  </w:style>
  <w:style w:type="character" w:customStyle="1" w:styleId="24">
    <w:name w:val="Footer Char"/>
    <w:basedOn w:val="6"/>
    <w:link w:val="9"/>
    <w:qFormat/>
    <w:uiPriority w:val="99"/>
    <w:rPr>
      <w:rFonts w:ascii="Arial" w:hAnsi="Arial" w:cs="Arial" w:eastAsiaTheme="minorHAnsi"/>
      <w:sz w:val="24"/>
      <w:szCs w:val="24"/>
      <w:lang w:val="en-US" w:eastAsia="en-US"/>
    </w:rPr>
  </w:style>
  <w:style w:type="paragraph" w:styleId="25">
    <w:name w:val="List Paragraph"/>
    <w:basedOn w:val="1"/>
    <w:qFormat/>
    <w:uiPriority w:val="34"/>
    <w:pPr>
      <w:ind w:left="840" w:leftChars="4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329</Words>
  <Characters>1906</Characters>
  <Lines>15</Lines>
  <Paragraphs>4</Paragraphs>
  <TotalTime>33</TotalTime>
  <ScaleCrop>false</ScaleCrop>
  <LinksUpToDate>false</LinksUpToDate>
  <CharactersWithSpaces>2231</CharactersWithSpaces>
  <Application>WPS Office_12.2.0.17153_F1E327BC-269C-435d-A152-05C5408002CA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2021-05-31T14:03:00Z</dcterms:created>
  <cp:lastPrinted>2010-01-22T11:20:00Z</cp:lastPrinted>
  <dcterms:modified xsi:type="dcterms:W3CDTF">2024-07-29T21:32:26Z</dcterms:modified>
  <dc:title>BJNANO_Article_Template_for_Word</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352C5F74408B422EB7CB9D5A00F4C71C_12</vt:lpwstr>
  </property>
</Properties>
</file>