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9B087" w14:textId="77777777" w:rsidR="00D67948" w:rsidRPr="00775056" w:rsidRDefault="00000000">
      <w:pPr>
        <w:spacing w:after="0" w:line="480" w:lineRule="auto"/>
        <w:jc w:val="center"/>
        <w:rPr>
          <w:rFonts w:ascii="Arial" w:eastAsia="Times" w:hAnsi="Arial" w:cs="Arial"/>
          <w:i/>
          <w:sz w:val="24"/>
          <w:szCs w:val="24"/>
        </w:rPr>
      </w:pPr>
      <w:r w:rsidRPr="00775056">
        <w:rPr>
          <w:rFonts w:ascii="Arial" w:eastAsia="Times" w:hAnsi="Arial" w:cs="Arial"/>
          <w:i/>
          <w:sz w:val="24"/>
          <w:szCs w:val="24"/>
        </w:rPr>
        <w:t>Supporting Information</w:t>
      </w:r>
    </w:p>
    <w:p w14:paraId="5AC5FA17" w14:textId="77777777" w:rsidR="00D67948" w:rsidRPr="00775056" w:rsidRDefault="00D67948">
      <w:pPr>
        <w:spacing w:after="0" w:line="480" w:lineRule="auto"/>
        <w:jc w:val="center"/>
        <w:rPr>
          <w:rFonts w:ascii="Arial" w:eastAsia="Times" w:hAnsi="Arial" w:cs="Arial"/>
          <w:i/>
          <w:sz w:val="24"/>
          <w:szCs w:val="24"/>
        </w:rPr>
      </w:pPr>
    </w:p>
    <w:p w14:paraId="78183665" w14:textId="77777777" w:rsidR="00D67948" w:rsidRPr="00775056" w:rsidRDefault="00000000">
      <w:pPr>
        <w:spacing w:after="0" w:line="480" w:lineRule="auto"/>
        <w:rPr>
          <w:rFonts w:ascii="Arial" w:eastAsia="Times" w:hAnsi="Arial" w:cs="Arial"/>
          <w:b/>
          <w:bCs/>
          <w:sz w:val="36"/>
          <w:szCs w:val="36"/>
        </w:rPr>
      </w:pPr>
      <w:r w:rsidRPr="00775056">
        <w:rPr>
          <w:rFonts w:ascii="Arial" w:eastAsia="Times" w:hAnsi="Arial" w:cs="Arial"/>
          <w:b/>
          <w:bCs/>
          <w:sz w:val="36"/>
          <w:szCs w:val="36"/>
        </w:rPr>
        <w:t>Dual-Functionalized Architecture Enables Stable and Tumor Cell-Specific SiO</w:t>
      </w:r>
      <w:r w:rsidRPr="00775056">
        <w:rPr>
          <w:rFonts w:ascii="Arial" w:eastAsia="Times" w:hAnsi="Arial" w:cs="Arial"/>
          <w:b/>
          <w:bCs/>
          <w:sz w:val="36"/>
          <w:szCs w:val="36"/>
          <w:vertAlign w:val="subscript"/>
        </w:rPr>
        <w:t>2</w:t>
      </w:r>
      <w:r w:rsidRPr="00775056">
        <w:rPr>
          <w:rFonts w:ascii="Arial" w:eastAsia="Times" w:hAnsi="Arial" w:cs="Arial"/>
          <w:b/>
          <w:bCs/>
          <w:sz w:val="36"/>
          <w:szCs w:val="36"/>
        </w:rPr>
        <w:t>NPs in Complex Biological Fluids</w:t>
      </w:r>
    </w:p>
    <w:p w14:paraId="53EBAC10" w14:textId="77777777" w:rsidR="00D67948" w:rsidRPr="00775056" w:rsidRDefault="00000000">
      <w:pPr>
        <w:spacing w:after="0" w:line="480" w:lineRule="auto"/>
        <w:jc w:val="both"/>
        <w:rPr>
          <w:rFonts w:ascii="Arial" w:eastAsia="Times New Roman" w:hAnsi="Arial" w:cs="Arial"/>
          <w:iCs/>
          <w:sz w:val="24"/>
          <w:szCs w:val="24"/>
          <w:lang w:val="pt-BR"/>
        </w:rPr>
      </w:pPr>
      <w:bookmarkStart w:id="0" w:name="_heading=h.2et92p0" w:colFirst="0" w:colLast="0"/>
      <w:bookmarkEnd w:id="0"/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>Iris Renata Sousa Ribeiro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vertAlign w:val="superscript"/>
          <w:lang w:val="pt-BR"/>
        </w:rPr>
        <w:t>1,2*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 xml:space="preserve">, Raquel </w:t>
      </w:r>
      <w:proofErr w:type="spellStart"/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>Frenedoso</w:t>
      </w:r>
      <w:proofErr w:type="spellEnd"/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 xml:space="preserve"> da Silva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vertAlign w:val="superscript"/>
          <w:lang w:val="pt-BR"/>
        </w:rPr>
        <w:t>2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>, Romênia Ramos Domingues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vertAlign w:val="superscript"/>
          <w:lang w:val="pt-BR"/>
        </w:rPr>
        <w:t>3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>, Adriana Franco Paes Leme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vertAlign w:val="superscript"/>
          <w:lang w:val="pt-BR"/>
        </w:rPr>
        <w:t>3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 xml:space="preserve">, </w:t>
      </w:r>
      <w:proofErr w:type="spellStart"/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>and</w:t>
      </w:r>
      <w:proofErr w:type="spellEnd"/>
      <w:r w:rsidRPr="00775056">
        <w:rPr>
          <w:rFonts w:ascii="Arial" w:eastAsia="Times" w:hAnsi="Arial" w:cs="Arial"/>
          <w:iCs/>
          <w:color w:val="000000"/>
          <w:sz w:val="24"/>
          <w:szCs w:val="24"/>
          <w:lang w:val="pt-BR"/>
        </w:rPr>
        <w:t xml:space="preserve"> Mateus Borba Cardoso</w:t>
      </w:r>
      <w:r w:rsidRPr="00775056">
        <w:rPr>
          <w:rFonts w:ascii="Arial" w:eastAsia="Times" w:hAnsi="Arial" w:cs="Arial"/>
          <w:iCs/>
          <w:color w:val="000000"/>
          <w:sz w:val="24"/>
          <w:szCs w:val="24"/>
          <w:vertAlign w:val="superscript"/>
          <w:lang w:val="pt-BR"/>
        </w:rPr>
        <w:t>1,2*</w:t>
      </w:r>
    </w:p>
    <w:p w14:paraId="1334C6E5" w14:textId="77777777" w:rsidR="00D67948" w:rsidRPr="00775056" w:rsidRDefault="00D679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14:paraId="6ABEF3F0" w14:textId="77777777" w:rsidR="00D67948" w:rsidRPr="00775056" w:rsidRDefault="00000000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056">
        <w:rPr>
          <w:rFonts w:ascii="Arial" w:eastAsia="Times" w:hAnsi="Arial" w:cs="Arial"/>
          <w:color w:val="000000"/>
          <w:sz w:val="24"/>
          <w:szCs w:val="24"/>
          <w:vertAlign w:val="superscript"/>
        </w:rPr>
        <w:t>1</w:t>
      </w:r>
      <w:r w:rsidRPr="00775056">
        <w:rPr>
          <w:rFonts w:ascii="Arial" w:eastAsia="Times" w:hAnsi="Arial" w:cs="Arial"/>
          <w:color w:val="000000"/>
          <w:sz w:val="24"/>
          <w:szCs w:val="24"/>
        </w:rPr>
        <w:t xml:space="preserve"> Institute of Chemistry (IQ), University of Campinas (UNICAMP), Postal Code 13083- 970, Post Office Box 6154, Campinas, SP, Brazil.</w:t>
      </w:r>
    </w:p>
    <w:p w14:paraId="3AA13998" w14:textId="77777777" w:rsidR="00D67948" w:rsidRPr="00775056" w:rsidRDefault="00000000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056">
        <w:rPr>
          <w:rFonts w:ascii="Arial" w:eastAsia="Times" w:hAnsi="Arial" w:cs="Arial"/>
          <w:color w:val="000000"/>
          <w:sz w:val="24"/>
          <w:szCs w:val="24"/>
          <w:vertAlign w:val="superscript"/>
        </w:rPr>
        <w:t>2</w:t>
      </w:r>
      <w:r w:rsidRPr="00775056">
        <w:rPr>
          <w:rFonts w:ascii="Arial" w:eastAsia="Times" w:hAnsi="Arial" w:cs="Arial"/>
          <w:color w:val="000000"/>
          <w:sz w:val="24"/>
          <w:szCs w:val="24"/>
        </w:rPr>
        <w:t xml:space="preserve"> Brazilian Synchrotron Light Laboratory (LNLS), Brazilian Center for Research in Energy and Materials (CNPEM), Postal Code 13083-970, Campinas, Brazil.</w:t>
      </w:r>
    </w:p>
    <w:p w14:paraId="562B5C47" w14:textId="77777777" w:rsidR="00D67948" w:rsidRPr="00775056" w:rsidRDefault="00000000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056">
        <w:rPr>
          <w:rFonts w:ascii="Arial" w:eastAsia="Times" w:hAnsi="Arial" w:cs="Arial"/>
          <w:color w:val="000000"/>
          <w:sz w:val="24"/>
          <w:szCs w:val="24"/>
          <w:vertAlign w:val="superscript"/>
        </w:rPr>
        <w:t xml:space="preserve">3   </w:t>
      </w:r>
      <w:r w:rsidRPr="00775056">
        <w:rPr>
          <w:rFonts w:ascii="Arial" w:eastAsia="Times" w:hAnsi="Arial" w:cs="Arial"/>
          <w:color w:val="000000"/>
          <w:sz w:val="24"/>
          <w:szCs w:val="24"/>
        </w:rPr>
        <w:t>Brazilian Biosciences National Laboratory (</w:t>
      </w:r>
      <w:proofErr w:type="spellStart"/>
      <w:r w:rsidRPr="00775056">
        <w:rPr>
          <w:rFonts w:ascii="Arial" w:eastAsia="Times" w:hAnsi="Arial" w:cs="Arial"/>
          <w:color w:val="000000"/>
          <w:sz w:val="24"/>
          <w:szCs w:val="24"/>
        </w:rPr>
        <w:t>LNBio</w:t>
      </w:r>
      <w:proofErr w:type="spellEnd"/>
      <w:r w:rsidRPr="00775056">
        <w:rPr>
          <w:rFonts w:ascii="Arial" w:eastAsia="Times" w:hAnsi="Arial" w:cs="Arial"/>
          <w:color w:val="000000"/>
          <w:sz w:val="24"/>
          <w:szCs w:val="24"/>
        </w:rPr>
        <w:t xml:space="preserve">), Brazilian Center for Research in Energy and Materials (CNPEM), Postal Code 13083-970, Campinas, Brazil and Department of Biochemistry and Tissue Biology, Institute of Biology, University of Campinas (UNICAMP), </w:t>
      </w:r>
      <w:proofErr w:type="spellStart"/>
      <w:r w:rsidRPr="00775056">
        <w:rPr>
          <w:rFonts w:ascii="Arial" w:eastAsia="Times" w:hAnsi="Arial" w:cs="Arial"/>
          <w:color w:val="000000"/>
          <w:sz w:val="24"/>
          <w:szCs w:val="24"/>
        </w:rPr>
        <w:t>P.</w:t>
      </w:r>
      <w:proofErr w:type="gramStart"/>
      <w:r w:rsidRPr="00775056">
        <w:rPr>
          <w:rFonts w:ascii="Arial" w:eastAsia="Times" w:hAnsi="Arial" w:cs="Arial"/>
          <w:color w:val="000000"/>
          <w:sz w:val="24"/>
          <w:szCs w:val="24"/>
        </w:rPr>
        <w:t>O.Box</w:t>
      </w:r>
      <w:proofErr w:type="spellEnd"/>
      <w:proofErr w:type="gramEnd"/>
      <w:r w:rsidRPr="00775056">
        <w:rPr>
          <w:rFonts w:ascii="Arial" w:eastAsia="Times" w:hAnsi="Arial" w:cs="Arial"/>
          <w:color w:val="000000"/>
          <w:sz w:val="24"/>
          <w:szCs w:val="24"/>
        </w:rPr>
        <w:t>: 6109, Postal Code 13083-970, Campinas, SP, Brazil.</w:t>
      </w:r>
    </w:p>
    <w:p w14:paraId="587FE463" w14:textId="77777777" w:rsidR="00D67948" w:rsidRPr="00775056" w:rsidRDefault="00000000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775056">
        <w:rPr>
          <w:rFonts w:ascii="Arial" w:eastAsia="Times" w:hAnsi="Arial" w:cs="Arial"/>
          <w:color w:val="000000"/>
          <w:sz w:val="24"/>
          <w:szCs w:val="24"/>
        </w:rPr>
        <w:t>*Authors for correspondence: iris.ribeiro@lnls.br, cardosomb@lnls.br</w:t>
      </w:r>
    </w:p>
    <w:p w14:paraId="3D698694" w14:textId="77777777" w:rsidR="00D67948" w:rsidRPr="00775056" w:rsidRDefault="00D67948">
      <w:pPr>
        <w:spacing w:after="0" w:line="480" w:lineRule="auto"/>
        <w:ind w:firstLine="708"/>
        <w:jc w:val="center"/>
        <w:rPr>
          <w:rFonts w:ascii="Arial" w:eastAsia="Times" w:hAnsi="Arial" w:cs="Arial"/>
          <w:sz w:val="24"/>
          <w:szCs w:val="24"/>
        </w:rPr>
      </w:pPr>
    </w:p>
    <w:p w14:paraId="145CA2BA" w14:textId="77777777" w:rsidR="00D67948" w:rsidRPr="00775056" w:rsidRDefault="00000000">
      <w:pPr>
        <w:spacing w:after="0" w:line="480" w:lineRule="auto"/>
        <w:ind w:firstLine="708"/>
        <w:jc w:val="center"/>
        <w:rPr>
          <w:rFonts w:ascii="Arial" w:eastAsia="Times" w:hAnsi="Arial" w:cs="Arial"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E0E9374" wp14:editId="003B9E0A">
            <wp:extent cx="4381500" cy="3116580"/>
            <wp:effectExtent l="0" t="0" r="0" b="0"/>
            <wp:docPr id="1862370545" name="image8.png" descr="Diagrama, Esquemáti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Diagrama, Esquemático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16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DB6D92" w14:textId="77777777" w:rsidR="00D67948" w:rsidRPr="00775056" w:rsidRDefault="00000000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t>Figure S1:</w:t>
      </w:r>
      <w:r w:rsidRPr="00775056">
        <w:rPr>
          <w:rFonts w:ascii="Arial" w:eastAsia="Times" w:hAnsi="Arial" w:cs="Arial"/>
          <w:sz w:val="24"/>
          <w:szCs w:val="24"/>
        </w:rPr>
        <w:t xml:space="preserve"> 1H NMR spectrum for ZW compound. Band assignments are included in the spectrum.</w:t>
      </w:r>
    </w:p>
    <w:p w14:paraId="3D075620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5D7FEC87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0FA1EE42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523E0D14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31888D76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5EA7AF7F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62048DDA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63C2C18E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41884ADD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24ACD7CE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15DFB34F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41EE9D63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7A18C7F0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23BB2E63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5EEF4A87" w14:textId="140FAD89" w:rsidR="00D67948" w:rsidRPr="00775056" w:rsidRDefault="00FC5238">
      <w:pPr>
        <w:spacing w:after="0" w:line="480" w:lineRule="auto"/>
        <w:jc w:val="center"/>
        <w:rPr>
          <w:rFonts w:ascii="Arial" w:eastAsia="Times" w:hAnsi="Arial" w:cs="Arial"/>
          <w:sz w:val="24"/>
          <w:szCs w:val="24"/>
        </w:rPr>
      </w:pPr>
      <w:r>
        <w:rPr>
          <w:rFonts w:ascii="Arial" w:eastAsia="Times" w:hAnsi="Arial" w:cs="Arial"/>
          <w:noProof/>
          <w:sz w:val="24"/>
          <w:szCs w:val="24"/>
        </w:rPr>
        <w:lastRenderedPageBreak/>
        <w:drawing>
          <wp:inline distT="0" distB="0" distL="0" distR="0" wp14:anchorId="30C092F4" wp14:editId="778954A6">
            <wp:extent cx="2857500" cy="2861490"/>
            <wp:effectExtent l="0" t="0" r="0" b="0"/>
            <wp:docPr id="7947882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65" cy="286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B1096" w14:textId="484B7CBE" w:rsidR="00D67948" w:rsidRPr="00775056" w:rsidRDefault="00000000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  <w:bookmarkStart w:id="1" w:name="_heading=h.gjdgxs" w:colFirst="0" w:colLast="0"/>
      <w:bookmarkEnd w:id="1"/>
      <w:r w:rsidRPr="00775056">
        <w:rPr>
          <w:rFonts w:ascii="Arial" w:eastAsia="Times" w:hAnsi="Arial" w:cs="Arial"/>
          <w:b/>
          <w:sz w:val="24"/>
          <w:szCs w:val="24"/>
        </w:rPr>
        <w:t>Figure S2:</w:t>
      </w:r>
      <w:r w:rsidRPr="00775056">
        <w:rPr>
          <w:rFonts w:ascii="Arial" w:eastAsia="Times" w:hAnsi="Arial" w:cs="Arial"/>
          <w:sz w:val="24"/>
          <w:szCs w:val="24"/>
        </w:rPr>
        <w:t xml:space="preserve"> Chemical structures of the main compounds used for the synthesis and functionalization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NPs. In the structure of folic acid, the region that will be recognized by the folate receptor is highlighted.</w:t>
      </w:r>
    </w:p>
    <w:p w14:paraId="4C88016A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18AB1ED2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77CA138F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1E5D5AC6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7E702149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2EB9F90A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2F93B080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4FE6FD5C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6B928A9C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6FDC7ADB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78620AE2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64486C85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49782439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21128CDB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5FB2617B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5952A72A" w14:textId="77777777" w:rsidR="00D67948" w:rsidRPr="00775056" w:rsidRDefault="00D67948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</w:p>
    <w:p w14:paraId="52E3DD49" w14:textId="5E61D1A4" w:rsidR="00D67948" w:rsidRDefault="00D67948">
      <w:pPr>
        <w:spacing w:after="0" w:line="240" w:lineRule="auto"/>
        <w:jc w:val="center"/>
        <w:rPr>
          <w:rFonts w:ascii="Arial" w:eastAsia="Times" w:hAnsi="Arial" w:cs="Arial"/>
          <w:sz w:val="24"/>
          <w:szCs w:val="24"/>
        </w:rPr>
      </w:pPr>
    </w:p>
    <w:p w14:paraId="4453165E" w14:textId="5B045914" w:rsidR="001020F6" w:rsidRPr="00775056" w:rsidRDefault="001020F6">
      <w:pPr>
        <w:spacing w:after="0" w:line="240" w:lineRule="auto"/>
        <w:jc w:val="center"/>
        <w:rPr>
          <w:rFonts w:ascii="Arial" w:eastAsia="Times" w:hAnsi="Arial" w:cs="Arial"/>
          <w:sz w:val="24"/>
          <w:szCs w:val="24"/>
        </w:rPr>
      </w:pPr>
      <w:r>
        <w:rPr>
          <w:rFonts w:ascii="Arial" w:eastAsia="Times" w:hAnsi="Arial" w:cs="Arial"/>
          <w:noProof/>
          <w:sz w:val="24"/>
          <w:szCs w:val="24"/>
        </w:rPr>
        <w:lastRenderedPageBreak/>
        <w:drawing>
          <wp:inline distT="0" distB="0" distL="0" distR="0" wp14:anchorId="0346D060" wp14:editId="52A6A702">
            <wp:extent cx="4943401" cy="3031200"/>
            <wp:effectExtent l="0" t="0" r="0" b="0"/>
            <wp:docPr id="17611999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3" t="4700" r="1930" b="2185"/>
                    <a:stretch/>
                  </pic:blipFill>
                  <pic:spPr bwMode="auto">
                    <a:xfrm>
                      <a:off x="0" y="0"/>
                      <a:ext cx="4943401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D09FF" w14:textId="77777777" w:rsidR="00D67948" w:rsidRPr="00775056" w:rsidRDefault="00000000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t>Figure S3:</w:t>
      </w:r>
      <w:r w:rsidRPr="00775056">
        <w:rPr>
          <w:rFonts w:ascii="Arial" w:eastAsia="Times" w:hAnsi="Arial" w:cs="Arial"/>
          <w:sz w:val="24"/>
          <w:szCs w:val="24"/>
        </w:rPr>
        <w:t xml:space="preserve"> Schematic representation of the magnetic </w:t>
      </w:r>
      <w:proofErr w:type="gramStart"/>
      <w:r w:rsidRPr="00775056">
        <w:rPr>
          <w:rFonts w:ascii="Arial" w:eastAsia="Times" w:hAnsi="Arial" w:cs="Arial"/>
          <w:sz w:val="24"/>
          <w:szCs w:val="24"/>
        </w:rPr>
        <w:t>beads</w:t>
      </w:r>
      <w:proofErr w:type="gramEnd"/>
      <w:r w:rsidRPr="00775056">
        <w:rPr>
          <w:rFonts w:ascii="Arial" w:eastAsia="Times" w:hAnsi="Arial" w:cs="Arial"/>
          <w:sz w:val="24"/>
          <w:szCs w:val="24"/>
        </w:rPr>
        <w:t xml:space="preserve"> preparation for immunoprecipitation assay. Briefly, the beads are modified with a) the folate receptor and subsequently exposed to b)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NPs-ZW-FO. After incubation, measurements are performed using the fluorescence technique.</w:t>
      </w:r>
    </w:p>
    <w:p w14:paraId="2B653243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6445F7C6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6B3F530D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7761F7AE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0467C606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C2498BE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43046C38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BB866DB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0C4E901E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3CFB76FC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6108235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25FEADF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04C228A9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279E7EFD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067A6E1B" w14:textId="77777777" w:rsidR="00D67948" w:rsidRPr="00775056" w:rsidRDefault="00D67948">
      <w:pPr>
        <w:spacing w:after="0" w:line="480" w:lineRule="auto"/>
        <w:jc w:val="both"/>
        <w:rPr>
          <w:rFonts w:ascii="Arial" w:eastAsia="Times" w:hAnsi="Arial" w:cs="Arial"/>
          <w:sz w:val="24"/>
          <w:szCs w:val="24"/>
        </w:rPr>
      </w:pPr>
    </w:p>
    <w:p w14:paraId="21DEAC25" w14:textId="77777777" w:rsidR="00D67948" w:rsidRPr="00775056" w:rsidRDefault="00000000">
      <w:pPr>
        <w:spacing w:after="0" w:line="480" w:lineRule="auto"/>
        <w:jc w:val="center"/>
        <w:rPr>
          <w:rFonts w:ascii="Arial" w:eastAsia="Times" w:hAnsi="Arial" w:cs="Arial"/>
          <w:b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E85E54E" wp14:editId="51BAC2B5">
            <wp:extent cx="3924300" cy="4762500"/>
            <wp:effectExtent l="0" t="0" r="0" b="0"/>
            <wp:docPr id="1862370549" name="image9.png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ráfico, Histograma&#10;&#10;Descrição gerada automaticamente"/>
                    <pic:cNvPicPr preferRelativeResize="0"/>
                  </pic:nvPicPr>
                  <pic:blipFill>
                    <a:blip r:embed="rId8"/>
                    <a:srcRect l="1827" r="4021" b="3547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76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ED2F7" w14:textId="77777777" w:rsidR="00D67948" w:rsidRPr="00775056" w:rsidRDefault="00000000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  <w:bookmarkStart w:id="2" w:name="_heading=h.30j0zll" w:colFirst="0" w:colLast="0"/>
      <w:bookmarkEnd w:id="2"/>
      <w:r w:rsidRPr="00775056">
        <w:rPr>
          <w:rFonts w:ascii="Arial" w:eastAsia="Times" w:hAnsi="Arial" w:cs="Arial"/>
          <w:b/>
          <w:sz w:val="24"/>
          <w:szCs w:val="24"/>
        </w:rPr>
        <w:t>Figure S4:</w:t>
      </w:r>
      <w:r w:rsidRPr="00775056">
        <w:rPr>
          <w:rFonts w:ascii="Arial" w:eastAsia="Times" w:hAnsi="Arial" w:cs="Arial"/>
          <w:sz w:val="24"/>
          <w:szCs w:val="24"/>
        </w:rPr>
        <w:t xml:space="preserve"> High resolution XPS spectrum (N1s) for a)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NPs, b)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NPs-ZW, c)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NPs-ZW-NH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, d)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NPs-ZW-FO. High resolution XPS spectrum (C1s) for e)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NPs-ZW-NH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. The main peaks for each sample are marked on the spectrum itself.</w:t>
      </w:r>
    </w:p>
    <w:p w14:paraId="7A705187" w14:textId="77777777" w:rsidR="00D67948" w:rsidRPr="00775056" w:rsidRDefault="00D67948">
      <w:pPr>
        <w:spacing w:after="0" w:line="480" w:lineRule="auto"/>
        <w:jc w:val="center"/>
        <w:rPr>
          <w:rFonts w:ascii="Arial" w:eastAsia="Times" w:hAnsi="Arial" w:cs="Arial"/>
          <w:b/>
          <w:sz w:val="24"/>
          <w:szCs w:val="24"/>
        </w:rPr>
      </w:pPr>
    </w:p>
    <w:p w14:paraId="41F4955D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5F12EB39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73D6CCC2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27A33A1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751B526B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3435D626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0652C46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14604350" w14:textId="77777777" w:rsidR="00D67948" w:rsidRPr="00775056" w:rsidRDefault="00D67948">
      <w:pPr>
        <w:spacing w:after="0" w:line="480" w:lineRule="auto"/>
        <w:ind w:firstLine="708"/>
        <w:jc w:val="both"/>
        <w:rPr>
          <w:rFonts w:ascii="Arial" w:eastAsia="Times" w:hAnsi="Arial" w:cs="Arial"/>
          <w:sz w:val="24"/>
          <w:szCs w:val="24"/>
        </w:rPr>
      </w:pPr>
    </w:p>
    <w:p w14:paraId="4C030B49" w14:textId="77777777" w:rsidR="00D67948" w:rsidRPr="00775056" w:rsidRDefault="00000000">
      <w:pPr>
        <w:spacing w:after="0" w:line="480" w:lineRule="auto"/>
        <w:jc w:val="center"/>
        <w:rPr>
          <w:rFonts w:ascii="Arial" w:eastAsia="Times" w:hAnsi="Arial" w:cs="Arial"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4CC6D87" wp14:editId="31928A5E">
            <wp:extent cx="2523827" cy="1883420"/>
            <wp:effectExtent l="0" t="0" r="0" b="0"/>
            <wp:docPr id="1862370548" name="image6.png" descr="Gráfi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ráfico&#10;&#10;Descrição gerada automaticamente"/>
                    <pic:cNvPicPr preferRelativeResize="0"/>
                  </pic:nvPicPr>
                  <pic:blipFill>
                    <a:blip r:embed="rId9"/>
                    <a:srcRect l="50347" t="13027"/>
                    <a:stretch>
                      <a:fillRect/>
                    </a:stretch>
                  </pic:blipFill>
                  <pic:spPr>
                    <a:xfrm>
                      <a:off x="0" y="0"/>
                      <a:ext cx="2523827" cy="188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D4C457" w14:textId="77777777" w:rsidR="00D67948" w:rsidRPr="00775056" w:rsidRDefault="00000000">
      <w:pPr>
        <w:spacing w:after="0" w:line="240" w:lineRule="auto"/>
        <w:jc w:val="both"/>
        <w:rPr>
          <w:rFonts w:ascii="Arial" w:eastAsia="Times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t>Figure S5:</w:t>
      </w:r>
      <w:r w:rsidRPr="00775056">
        <w:rPr>
          <w:rFonts w:ascii="Arial" w:eastAsia="Times" w:hAnsi="Arial" w:cs="Arial"/>
          <w:sz w:val="24"/>
          <w:szCs w:val="24"/>
        </w:rPr>
        <w:t xml:space="preserve"> Analytical curve showing fluorescence responses as a function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 xml:space="preserve">NPs concentration (0.1, 0.2, 0.5, 0.7 and 1.0 mg </w:t>
      </w:r>
      <w:proofErr w:type="gramStart"/>
      <w:r w:rsidRPr="00775056">
        <w:rPr>
          <w:rFonts w:ascii="Arial" w:eastAsia="Times" w:hAnsi="Arial" w:cs="Arial"/>
          <w:sz w:val="24"/>
          <w:szCs w:val="24"/>
        </w:rPr>
        <w:t>mL</w:t>
      </w:r>
      <w:r w:rsidRPr="00775056">
        <w:rPr>
          <w:rFonts w:ascii="Arial" w:eastAsia="Times" w:hAnsi="Arial" w:cs="Arial"/>
          <w:sz w:val="24"/>
          <w:szCs w:val="24"/>
          <w:vertAlign w:val="superscript"/>
        </w:rPr>
        <w:t>–1</w:t>
      </w:r>
      <w:proofErr w:type="gramEnd"/>
      <w:r w:rsidRPr="00775056">
        <w:rPr>
          <w:rFonts w:ascii="Arial" w:eastAsia="Times" w:hAnsi="Arial" w:cs="Arial"/>
          <w:sz w:val="24"/>
          <w:szCs w:val="24"/>
        </w:rPr>
        <w:t>).</w:t>
      </w:r>
    </w:p>
    <w:p w14:paraId="1C7D08C3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3C5DB70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8800CCF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43785916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7AFE6C71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D9327E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616DD441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4D74A29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E8D9688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68D48A90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CD4A821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4542D075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2F43E38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A7BC53F" w14:textId="77777777" w:rsidR="00D67948" w:rsidRDefault="00D67948">
      <w:pPr>
        <w:rPr>
          <w:rFonts w:ascii="Arial" w:hAnsi="Arial" w:cs="Arial"/>
          <w:sz w:val="24"/>
          <w:szCs w:val="24"/>
        </w:rPr>
      </w:pPr>
    </w:p>
    <w:p w14:paraId="1F2E5AC4" w14:textId="77777777" w:rsidR="00775056" w:rsidRPr="00775056" w:rsidRDefault="00775056">
      <w:pPr>
        <w:rPr>
          <w:rFonts w:ascii="Arial" w:hAnsi="Arial" w:cs="Arial"/>
          <w:sz w:val="24"/>
          <w:szCs w:val="24"/>
        </w:rPr>
      </w:pPr>
    </w:p>
    <w:p w14:paraId="594AE59D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2957AF2C" w14:textId="77777777" w:rsidR="00D67948" w:rsidRPr="00775056" w:rsidRDefault="00000000">
      <w:pPr>
        <w:jc w:val="center"/>
        <w:rPr>
          <w:rFonts w:ascii="Arial" w:hAnsi="Arial" w:cs="Arial"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DD30613" wp14:editId="039CDD26">
            <wp:extent cx="5309434" cy="2218266"/>
            <wp:effectExtent l="0" t="0" r="0" b="0"/>
            <wp:docPr id="1862370541" name="image3.png" descr="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nterface gráfica do usuário&#10;&#10;Descrição gerada automaticamente"/>
                    <pic:cNvPicPr preferRelativeResize="0"/>
                  </pic:nvPicPr>
                  <pic:blipFill>
                    <a:blip r:embed="rId10"/>
                    <a:srcRect l="784" r="892" b="1928"/>
                    <a:stretch>
                      <a:fillRect/>
                    </a:stretch>
                  </pic:blipFill>
                  <pic:spPr>
                    <a:xfrm>
                      <a:off x="0" y="0"/>
                      <a:ext cx="5309434" cy="22182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E7FD7C" w14:textId="77777777" w:rsidR="00D67948" w:rsidRPr="00775056" w:rsidRDefault="00000000">
      <w:pPr>
        <w:jc w:val="both"/>
        <w:rPr>
          <w:rFonts w:ascii="Arial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t>Figure S6:</w:t>
      </w:r>
      <w:r w:rsidRPr="00775056">
        <w:rPr>
          <w:rFonts w:ascii="Arial" w:eastAsia="Times" w:hAnsi="Arial" w:cs="Arial"/>
          <w:sz w:val="24"/>
          <w:szCs w:val="24"/>
        </w:rPr>
        <w:t xml:space="preserve"> Polyacrylamide gel electrophoresis of non-functionalized and functionalized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 samples after incubation in a) DMEM medium (10% FBS) and b) human plasma. In DMEM, the concentrations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 (functionalized and non-functionalized) used were 2 mg mL</w:t>
      </w:r>
      <w:r w:rsidRPr="00775056">
        <w:rPr>
          <w:rFonts w:ascii="Arial" w:eastAsia="Times" w:hAnsi="Arial" w:cs="Arial"/>
          <w:sz w:val="24"/>
          <w:szCs w:val="24"/>
          <w:vertAlign w:val="superscript"/>
        </w:rPr>
        <w:t>–1</w:t>
      </w:r>
      <w:r w:rsidRPr="00775056">
        <w:rPr>
          <w:rFonts w:ascii="Arial" w:eastAsia="Times" w:hAnsi="Arial" w:cs="Arial"/>
          <w:sz w:val="24"/>
          <w:szCs w:val="24"/>
        </w:rPr>
        <w:t xml:space="preserve"> (samples delimited by the blue square, duplicates for each sample) and 5 mg mL</w:t>
      </w:r>
      <w:r w:rsidRPr="00775056">
        <w:rPr>
          <w:rFonts w:ascii="Arial" w:eastAsia="Times" w:hAnsi="Arial" w:cs="Arial"/>
          <w:sz w:val="24"/>
          <w:szCs w:val="24"/>
          <w:vertAlign w:val="superscript"/>
        </w:rPr>
        <w:t>–1</w:t>
      </w:r>
      <w:r w:rsidRPr="00775056">
        <w:rPr>
          <w:rFonts w:ascii="Arial" w:eastAsia="Times" w:hAnsi="Arial" w:cs="Arial"/>
          <w:sz w:val="24"/>
          <w:szCs w:val="24"/>
        </w:rPr>
        <w:t xml:space="preserve"> (samples delimited by the orange square). DMEM medium (10% FBS) was also used for control without NPs at 0.3 dilution. In human plasma, the concentration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 (functionalized and non-functionalized) used was 3 mg mL</w:t>
      </w:r>
      <w:r w:rsidRPr="00775056">
        <w:rPr>
          <w:rFonts w:ascii="Arial" w:eastAsia="Times" w:hAnsi="Arial" w:cs="Arial"/>
          <w:sz w:val="24"/>
          <w:szCs w:val="24"/>
          <w:vertAlign w:val="superscript"/>
        </w:rPr>
        <w:t>–1</w:t>
      </w:r>
      <w:r w:rsidRPr="00775056">
        <w:rPr>
          <w:rFonts w:ascii="Arial" w:eastAsia="Times" w:hAnsi="Arial" w:cs="Arial"/>
          <w:sz w:val="24"/>
          <w:szCs w:val="24"/>
        </w:rPr>
        <w:t xml:space="preserve"> (triplicates for each sample). Lane M is a protein marker.</w:t>
      </w:r>
    </w:p>
    <w:p w14:paraId="15F43100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408944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682C77D9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CFEB1CD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21F7C384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91461B7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DF57D40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2DD2DCF0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D72B11E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4017BC8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47F65DC1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177947F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7388AEBD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DA48A5C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C5CD573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60755113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FB43DDE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10B619B6" w14:textId="77777777" w:rsidR="00D67948" w:rsidRPr="00775056" w:rsidRDefault="00000000">
      <w:pPr>
        <w:jc w:val="both"/>
        <w:rPr>
          <w:rFonts w:ascii="Arial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lastRenderedPageBreak/>
        <w:t>Table S1:</w:t>
      </w:r>
      <w:r w:rsidRPr="00775056">
        <w:rPr>
          <w:rFonts w:ascii="Arial" w:eastAsia="Times" w:hAnsi="Arial" w:cs="Arial"/>
          <w:sz w:val="24"/>
          <w:szCs w:val="24"/>
        </w:rPr>
        <w:t xml:space="preserve"> 20 Most abundant proteins identified in DMEM and hard corona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NPs,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NPs-ZW,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NPs-ZW-FO in descending order.</w:t>
      </w:r>
    </w:p>
    <w:p w14:paraId="3505071A" w14:textId="77777777" w:rsidR="00D67948" w:rsidRPr="00775056" w:rsidRDefault="00D67948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409"/>
      </w:tblGrid>
      <w:tr w:rsidR="00D67948" w:rsidRPr="00775056" w14:paraId="651FF514" w14:textId="77777777" w:rsidTr="00775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1CEE3BD3" w14:textId="77777777" w:rsidR="00D67948" w:rsidRPr="00775056" w:rsidRDefault="00000000" w:rsidP="0077505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DMEM</w:t>
            </w:r>
          </w:p>
        </w:tc>
        <w:tc>
          <w:tcPr>
            <w:tcW w:w="2268" w:type="dxa"/>
            <w:shd w:val="clear" w:color="auto" w:fill="auto"/>
          </w:tcPr>
          <w:p w14:paraId="7A79DD26" w14:textId="77777777" w:rsidR="00D67948" w:rsidRPr="00775056" w:rsidRDefault="00000000" w:rsidP="007750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" w:hAnsi="Arial" w:cs="Arial"/>
                <w:sz w:val="20"/>
                <w:szCs w:val="20"/>
              </w:rPr>
              <w:t>SiO</w:t>
            </w:r>
            <w:r w:rsidRPr="00775056">
              <w:rPr>
                <w:rFonts w:ascii="Arial" w:eastAsia="Times" w:hAnsi="Arial" w:cs="Arial"/>
                <w:sz w:val="20"/>
                <w:szCs w:val="20"/>
                <w:vertAlign w:val="subscript"/>
              </w:rPr>
              <w:t>2</w:t>
            </w:r>
            <w:r w:rsidRPr="00775056">
              <w:rPr>
                <w:rFonts w:ascii="Arial" w:eastAsia="Times" w:hAnsi="Arial" w:cs="Arial"/>
                <w:sz w:val="20"/>
                <w:szCs w:val="20"/>
              </w:rPr>
              <w:t>NPs</w:t>
            </w:r>
          </w:p>
        </w:tc>
        <w:tc>
          <w:tcPr>
            <w:tcW w:w="2268" w:type="dxa"/>
            <w:shd w:val="clear" w:color="auto" w:fill="auto"/>
          </w:tcPr>
          <w:p w14:paraId="3025F04B" w14:textId="77777777" w:rsidR="00D67948" w:rsidRPr="00775056" w:rsidRDefault="00000000" w:rsidP="007750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" w:hAnsi="Arial" w:cs="Arial"/>
                <w:sz w:val="20"/>
                <w:szCs w:val="20"/>
              </w:rPr>
              <w:t>SiO</w:t>
            </w:r>
            <w:r w:rsidRPr="00775056">
              <w:rPr>
                <w:rFonts w:ascii="Arial" w:eastAsia="Times" w:hAnsi="Arial" w:cs="Arial"/>
                <w:sz w:val="20"/>
                <w:szCs w:val="20"/>
                <w:vertAlign w:val="subscript"/>
              </w:rPr>
              <w:t>2</w:t>
            </w:r>
            <w:r w:rsidRPr="00775056">
              <w:rPr>
                <w:rFonts w:ascii="Arial" w:eastAsia="Times" w:hAnsi="Arial" w:cs="Arial"/>
                <w:sz w:val="20"/>
                <w:szCs w:val="20"/>
              </w:rPr>
              <w:t>NPs-ZW</w:t>
            </w:r>
          </w:p>
        </w:tc>
        <w:tc>
          <w:tcPr>
            <w:tcW w:w="2409" w:type="dxa"/>
            <w:shd w:val="clear" w:color="auto" w:fill="auto"/>
          </w:tcPr>
          <w:p w14:paraId="3A803FE5" w14:textId="77777777" w:rsidR="00D67948" w:rsidRPr="00775056" w:rsidRDefault="00000000" w:rsidP="007750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" w:hAnsi="Arial" w:cs="Arial"/>
                <w:sz w:val="20"/>
                <w:szCs w:val="20"/>
              </w:rPr>
              <w:t>SiO</w:t>
            </w:r>
            <w:r w:rsidRPr="00775056">
              <w:rPr>
                <w:rFonts w:ascii="Arial" w:eastAsia="Times" w:hAnsi="Arial" w:cs="Arial"/>
                <w:sz w:val="20"/>
                <w:szCs w:val="20"/>
                <w:vertAlign w:val="subscript"/>
              </w:rPr>
              <w:t>2</w:t>
            </w:r>
            <w:r w:rsidRPr="00775056">
              <w:rPr>
                <w:rFonts w:ascii="Arial" w:eastAsia="Times" w:hAnsi="Arial" w:cs="Arial"/>
                <w:sz w:val="20"/>
                <w:szCs w:val="20"/>
              </w:rPr>
              <w:t>NPs-ZW-FO</w:t>
            </w:r>
          </w:p>
        </w:tc>
      </w:tr>
      <w:tr w:rsidR="00D67948" w:rsidRPr="00775056" w14:paraId="6AC1CA91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1609E5A6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Albumin</w:t>
            </w:r>
          </w:p>
        </w:tc>
        <w:tc>
          <w:tcPr>
            <w:tcW w:w="2268" w:type="dxa"/>
            <w:shd w:val="clear" w:color="auto" w:fill="auto"/>
          </w:tcPr>
          <w:p w14:paraId="14BBBB91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C3</w:t>
            </w:r>
          </w:p>
        </w:tc>
        <w:tc>
          <w:tcPr>
            <w:tcW w:w="2268" w:type="dxa"/>
            <w:shd w:val="clear" w:color="auto" w:fill="auto"/>
          </w:tcPr>
          <w:p w14:paraId="01176E3D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Albumin</w:t>
            </w:r>
          </w:p>
        </w:tc>
        <w:tc>
          <w:tcPr>
            <w:tcW w:w="2409" w:type="dxa"/>
            <w:shd w:val="clear" w:color="auto" w:fill="auto"/>
          </w:tcPr>
          <w:p w14:paraId="7AECD55A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Albumin</w:t>
            </w:r>
          </w:p>
        </w:tc>
      </w:tr>
      <w:tr w:rsidR="00D67948" w:rsidRPr="00775056" w14:paraId="56724344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784FF35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Alpha-1-antiproteinase</w:t>
            </w:r>
          </w:p>
        </w:tc>
        <w:tc>
          <w:tcPr>
            <w:tcW w:w="2268" w:type="dxa"/>
            <w:shd w:val="clear" w:color="auto" w:fill="auto"/>
          </w:tcPr>
          <w:p w14:paraId="343F68A0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Hemoglobin fetal subunit beta</w:t>
            </w:r>
          </w:p>
        </w:tc>
        <w:tc>
          <w:tcPr>
            <w:tcW w:w="2268" w:type="dxa"/>
            <w:shd w:val="clear" w:color="auto" w:fill="auto"/>
          </w:tcPr>
          <w:p w14:paraId="7F9D89D4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Trypsin</w:t>
            </w:r>
          </w:p>
        </w:tc>
        <w:tc>
          <w:tcPr>
            <w:tcW w:w="2409" w:type="dxa"/>
            <w:shd w:val="clear" w:color="auto" w:fill="auto"/>
          </w:tcPr>
          <w:p w14:paraId="59BD83B3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>Similar to</w:t>
            </w:r>
            <w:proofErr w:type="gramEnd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 complement C4-A precursor</w:t>
            </w:r>
          </w:p>
        </w:tc>
      </w:tr>
      <w:tr w:rsidR="00D67948" w:rsidRPr="00775056" w14:paraId="78F4242A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88B6E5A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Alpha-2-HS-glycoprotein</w:t>
            </w:r>
          </w:p>
        </w:tc>
        <w:tc>
          <w:tcPr>
            <w:tcW w:w="2268" w:type="dxa"/>
            <w:shd w:val="clear" w:color="auto" w:fill="auto"/>
          </w:tcPr>
          <w:p w14:paraId="18156D0E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A-I</w:t>
            </w:r>
          </w:p>
        </w:tc>
        <w:tc>
          <w:tcPr>
            <w:tcW w:w="2268" w:type="dxa"/>
            <w:shd w:val="clear" w:color="auto" w:fill="auto"/>
          </w:tcPr>
          <w:p w14:paraId="09057D6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Gelsolin</w:t>
            </w:r>
          </w:p>
        </w:tc>
        <w:tc>
          <w:tcPr>
            <w:tcW w:w="2409" w:type="dxa"/>
            <w:shd w:val="clear" w:color="auto" w:fill="auto"/>
          </w:tcPr>
          <w:p w14:paraId="32A82DDC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A-I</w:t>
            </w:r>
          </w:p>
        </w:tc>
      </w:tr>
      <w:tr w:rsidR="00D67948" w:rsidRPr="00775056" w14:paraId="5DCA602B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491C57E4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Serotransferrin</w:t>
            </w:r>
          </w:p>
        </w:tc>
        <w:tc>
          <w:tcPr>
            <w:tcW w:w="2268" w:type="dxa"/>
            <w:shd w:val="clear" w:color="auto" w:fill="auto"/>
          </w:tcPr>
          <w:p w14:paraId="5F64B0C0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Albumin</w:t>
            </w:r>
          </w:p>
        </w:tc>
        <w:tc>
          <w:tcPr>
            <w:tcW w:w="2268" w:type="dxa"/>
            <w:shd w:val="clear" w:color="auto" w:fill="auto"/>
          </w:tcPr>
          <w:p w14:paraId="34DD974F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>Similar to</w:t>
            </w:r>
            <w:proofErr w:type="gramEnd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 complement C4-A precursor</w:t>
            </w:r>
          </w:p>
        </w:tc>
        <w:tc>
          <w:tcPr>
            <w:tcW w:w="2409" w:type="dxa"/>
            <w:shd w:val="clear" w:color="auto" w:fill="auto"/>
          </w:tcPr>
          <w:p w14:paraId="34027835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Trypsin</w:t>
            </w:r>
          </w:p>
        </w:tc>
      </w:tr>
      <w:tr w:rsidR="00D67948" w:rsidRPr="00775056" w14:paraId="3D3E00BE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7D8466F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Alpha-2-macroglobulin</w:t>
            </w:r>
          </w:p>
        </w:tc>
        <w:tc>
          <w:tcPr>
            <w:tcW w:w="2268" w:type="dxa"/>
            <w:shd w:val="clear" w:color="auto" w:fill="auto"/>
          </w:tcPr>
          <w:p w14:paraId="7F12F0FA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Hemoglobin subunit alpha</w:t>
            </w:r>
          </w:p>
        </w:tc>
        <w:tc>
          <w:tcPr>
            <w:tcW w:w="2268" w:type="dxa"/>
            <w:shd w:val="clear" w:color="auto" w:fill="auto"/>
          </w:tcPr>
          <w:p w14:paraId="14B3B32A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Hemoglobin fetal subunit beta</w:t>
            </w:r>
          </w:p>
        </w:tc>
        <w:tc>
          <w:tcPr>
            <w:tcW w:w="2409" w:type="dxa"/>
            <w:shd w:val="clear" w:color="auto" w:fill="auto"/>
          </w:tcPr>
          <w:p w14:paraId="4CED0DFA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Alpha-2-HS-glycoprotein</w:t>
            </w:r>
          </w:p>
        </w:tc>
      </w:tr>
      <w:tr w:rsidR="00D67948" w:rsidRPr="00775056" w14:paraId="713AC877" w14:textId="77777777" w:rsidTr="00775056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EAF5976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Hemoglobin fetal subunit beta</w:t>
            </w:r>
          </w:p>
        </w:tc>
        <w:tc>
          <w:tcPr>
            <w:tcW w:w="2268" w:type="dxa"/>
            <w:shd w:val="clear" w:color="auto" w:fill="auto"/>
          </w:tcPr>
          <w:p w14:paraId="7807AE93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Alpha-1-antiproteinase</w:t>
            </w:r>
          </w:p>
        </w:tc>
        <w:tc>
          <w:tcPr>
            <w:tcW w:w="2268" w:type="dxa"/>
            <w:shd w:val="clear" w:color="auto" w:fill="auto"/>
          </w:tcPr>
          <w:p w14:paraId="59C12BC5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Alpha-2-HS-glycoprotein</w:t>
            </w:r>
          </w:p>
        </w:tc>
        <w:tc>
          <w:tcPr>
            <w:tcW w:w="2409" w:type="dxa"/>
            <w:shd w:val="clear" w:color="auto" w:fill="auto"/>
          </w:tcPr>
          <w:p w14:paraId="62B913D5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Gelsolin</w:t>
            </w:r>
          </w:p>
        </w:tc>
      </w:tr>
      <w:tr w:rsidR="00D67948" w:rsidRPr="00775056" w14:paraId="1D61C6AC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7296142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Fetuin-B</w:t>
            </w:r>
          </w:p>
        </w:tc>
        <w:tc>
          <w:tcPr>
            <w:tcW w:w="2268" w:type="dxa"/>
            <w:shd w:val="clear" w:color="auto" w:fill="auto"/>
          </w:tcPr>
          <w:p w14:paraId="09850DB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Gelsolin</w:t>
            </w:r>
          </w:p>
        </w:tc>
        <w:tc>
          <w:tcPr>
            <w:tcW w:w="2268" w:type="dxa"/>
            <w:shd w:val="clear" w:color="auto" w:fill="auto"/>
          </w:tcPr>
          <w:p w14:paraId="506B5515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A-I</w:t>
            </w:r>
          </w:p>
        </w:tc>
        <w:tc>
          <w:tcPr>
            <w:tcW w:w="2409" w:type="dxa"/>
            <w:shd w:val="clear" w:color="auto" w:fill="auto"/>
          </w:tcPr>
          <w:p w14:paraId="40ABE44A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Hemoglobin fetal subunit beta</w:t>
            </w:r>
          </w:p>
        </w:tc>
      </w:tr>
      <w:tr w:rsidR="00D67948" w:rsidRPr="00775056" w14:paraId="6677BBEA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4B0F7B84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Alpha-fetoprotein</w:t>
            </w:r>
          </w:p>
        </w:tc>
        <w:tc>
          <w:tcPr>
            <w:tcW w:w="2268" w:type="dxa"/>
            <w:shd w:val="clear" w:color="auto" w:fill="auto"/>
          </w:tcPr>
          <w:p w14:paraId="2C025849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Alpha-2-HS-glycoprotein</w:t>
            </w:r>
          </w:p>
        </w:tc>
        <w:tc>
          <w:tcPr>
            <w:tcW w:w="2268" w:type="dxa"/>
            <w:shd w:val="clear" w:color="auto" w:fill="auto"/>
          </w:tcPr>
          <w:p w14:paraId="7101C07C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C3</w:t>
            </w:r>
          </w:p>
        </w:tc>
        <w:tc>
          <w:tcPr>
            <w:tcW w:w="2409" w:type="dxa"/>
            <w:shd w:val="clear" w:color="auto" w:fill="auto"/>
          </w:tcPr>
          <w:p w14:paraId="6B423853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C3</w:t>
            </w:r>
          </w:p>
        </w:tc>
      </w:tr>
      <w:tr w:rsidR="00D67948" w:rsidRPr="00775056" w14:paraId="0E919A06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1A70F247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Vitamin D-binding protein</w:t>
            </w:r>
          </w:p>
        </w:tc>
        <w:tc>
          <w:tcPr>
            <w:tcW w:w="2268" w:type="dxa"/>
            <w:shd w:val="clear" w:color="auto" w:fill="auto"/>
          </w:tcPr>
          <w:p w14:paraId="7A0B4157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>Similar to</w:t>
            </w:r>
            <w:proofErr w:type="gramEnd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 complement C4-A precursor</w:t>
            </w:r>
          </w:p>
        </w:tc>
        <w:tc>
          <w:tcPr>
            <w:tcW w:w="2268" w:type="dxa"/>
            <w:shd w:val="clear" w:color="auto" w:fill="auto"/>
          </w:tcPr>
          <w:p w14:paraId="1CD6A59D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Methanethiol oxidase</w:t>
            </w:r>
          </w:p>
        </w:tc>
        <w:tc>
          <w:tcPr>
            <w:tcW w:w="2409" w:type="dxa"/>
            <w:shd w:val="clear" w:color="auto" w:fill="auto"/>
          </w:tcPr>
          <w:p w14:paraId="719C270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Hemoglobin subunit alpha</w:t>
            </w:r>
          </w:p>
        </w:tc>
      </w:tr>
      <w:tr w:rsidR="00D67948" w:rsidRPr="00775056" w14:paraId="5E53D5E1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2CE9C72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Complement C3</w:t>
            </w:r>
          </w:p>
        </w:tc>
        <w:tc>
          <w:tcPr>
            <w:tcW w:w="2268" w:type="dxa"/>
            <w:shd w:val="clear" w:color="auto" w:fill="auto"/>
          </w:tcPr>
          <w:p w14:paraId="4B5460BC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Trypsin</w:t>
            </w:r>
          </w:p>
        </w:tc>
        <w:tc>
          <w:tcPr>
            <w:tcW w:w="2268" w:type="dxa"/>
            <w:shd w:val="clear" w:color="auto" w:fill="auto"/>
          </w:tcPr>
          <w:p w14:paraId="7F0FE34A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Alpha-1-antiproteinase</w:t>
            </w:r>
          </w:p>
        </w:tc>
        <w:tc>
          <w:tcPr>
            <w:tcW w:w="2409" w:type="dxa"/>
            <w:shd w:val="clear" w:color="auto" w:fill="auto"/>
          </w:tcPr>
          <w:p w14:paraId="1F8F7A4E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Alpha-1-antiproteinase</w:t>
            </w:r>
          </w:p>
        </w:tc>
      </w:tr>
      <w:tr w:rsidR="00D67948" w:rsidRPr="00775056" w14:paraId="18B7E287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14106E2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Hemoglobin subunit alpha</w:t>
            </w:r>
          </w:p>
        </w:tc>
        <w:tc>
          <w:tcPr>
            <w:tcW w:w="2268" w:type="dxa"/>
            <w:shd w:val="clear" w:color="auto" w:fill="auto"/>
          </w:tcPr>
          <w:p w14:paraId="46B1E66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factor B</w:t>
            </w:r>
          </w:p>
        </w:tc>
        <w:tc>
          <w:tcPr>
            <w:tcW w:w="2268" w:type="dxa"/>
            <w:shd w:val="clear" w:color="auto" w:fill="auto"/>
          </w:tcPr>
          <w:p w14:paraId="31E05F7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Hemoglobin subunit alpha</w:t>
            </w:r>
          </w:p>
        </w:tc>
        <w:tc>
          <w:tcPr>
            <w:tcW w:w="2409" w:type="dxa"/>
            <w:shd w:val="clear" w:color="auto" w:fill="auto"/>
          </w:tcPr>
          <w:p w14:paraId="07BA7F72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>Tetranectin</w:t>
            </w:r>
            <w:proofErr w:type="spellEnd"/>
          </w:p>
        </w:tc>
      </w:tr>
      <w:tr w:rsidR="00D67948" w:rsidRPr="00775056" w14:paraId="2FE61BC8" w14:textId="77777777" w:rsidTr="00775056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17A0BAA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Apolipoprotein A-I</w:t>
            </w:r>
          </w:p>
        </w:tc>
        <w:tc>
          <w:tcPr>
            <w:tcW w:w="2268" w:type="dxa"/>
            <w:shd w:val="clear" w:color="auto" w:fill="auto"/>
          </w:tcPr>
          <w:p w14:paraId="221E628F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Alpha-2-macroglobulin</w:t>
            </w:r>
          </w:p>
        </w:tc>
        <w:tc>
          <w:tcPr>
            <w:tcW w:w="2268" w:type="dxa"/>
            <w:shd w:val="clear" w:color="auto" w:fill="auto"/>
          </w:tcPr>
          <w:p w14:paraId="02B7CDB6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factor H</w:t>
            </w:r>
          </w:p>
        </w:tc>
        <w:tc>
          <w:tcPr>
            <w:tcW w:w="2409" w:type="dxa"/>
            <w:shd w:val="clear" w:color="auto" w:fill="auto"/>
          </w:tcPr>
          <w:p w14:paraId="605B76B6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factor H</w:t>
            </w:r>
          </w:p>
        </w:tc>
      </w:tr>
      <w:tr w:rsidR="00D67948" w:rsidRPr="00775056" w14:paraId="6F2F27BC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9C49535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color w:val="0A0A0A"/>
                <w:sz w:val="20"/>
                <w:szCs w:val="20"/>
              </w:rPr>
              <w:t>Trypsin</w:t>
            </w:r>
          </w:p>
        </w:tc>
        <w:tc>
          <w:tcPr>
            <w:tcW w:w="2268" w:type="dxa"/>
            <w:shd w:val="clear" w:color="auto" w:fill="auto"/>
          </w:tcPr>
          <w:p w14:paraId="759CEC0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Inter-alpha-trypsin inhibitor heavy chain H2</w:t>
            </w:r>
          </w:p>
        </w:tc>
        <w:tc>
          <w:tcPr>
            <w:tcW w:w="2268" w:type="dxa"/>
            <w:shd w:val="clear" w:color="auto" w:fill="auto"/>
          </w:tcPr>
          <w:p w14:paraId="20174686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75056">
              <w:rPr>
                <w:rFonts w:ascii="Arial" w:eastAsia="Times New Roman" w:hAnsi="Arial" w:cs="Arial"/>
                <w:sz w:val="20"/>
                <w:szCs w:val="20"/>
              </w:rPr>
              <w:t>Tetranectin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37F939E7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Kininogen-1</w:t>
            </w:r>
          </w:p>
        </w:tc>
      </w:tr>
      <w:tr w:rsidR="00D67948" w:rsidRPr="00775056" w14:paraId="1D92141F" w14:textId="77777777" w:rsidTr="00775056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F1448CF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Inter-alpha-trypsin inhibitor heavy chain H2</w:t>
            </w:r>
          </w:p>
        </w:tc>
        <w:tc>
          <w:tcPr>
            <w:tcW w:w="2268" w:type="dxa"/>
            <w:shd w:val="clear" w:color="auto" w:fill="auto"/>
          </w:tcPr>
          <w:p w14:paraId="483A3498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Alpha-fetoprotein</w:t>
            </w:r>
          </w:p>
        </w:tc>
        <w:tc>
          <w:tcPr>
            <w:tcW w:w="2268" w:type="dxa"/>
            <w:shd w:val="clear" w:color="auto" w:fill="auto"/>
          </w:tcPr>
          <w:p w14:paraId="7C008DBF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factor B</w:t>
            </w:r>
          </w:p>
        </w:tc>
        <w:tc>
          <w:tcPr>
            <w:tcW w:w="2409" w:type="dxa"/>
            <w:shd w:val="clear" w:color="auto" w:fill="auto"/>
          </w:tcPr>
          <w:p w14:paraId="3C4AD31F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Alpha-2-macroglobulin</w:t>
            </w:r>
          </w:p>
        </w:tc>
      </w:tr>
      <w:tr w:rsidR="00D67948" w:rsidRPr="00775056" w14:paraId="3171A508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81AA429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Hemopexin</w:t>
            </w:r>
          </w:p>
        </w:tc>
        <w:tc>
          <w:tcPr>
            <w:tcW w:w="2268" w:type="dxa"/>
            <w:shd w:val="clear" w:color="auto" w:fill="auto"/>
          </w:tcPr>
          <w:p w14:paraId="01186388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Plasminogen</w:t>
            </w:r>
          </w:p>
        </w:tc>
        <w:tc>
          <w:tcPr>
            <w:tcW w:w="2268" w:type="dxa"/>
            <w:shd w:val="clear" w:color="auto" w:fill="auto"/>
          </w:tcPr>
          <w:p w14:paraId="1FAF1972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Alpha-2-macroglobulin</w:t>
            </w:r>
          </w:p>
        </w:tc>
        <w:tc>
          <w:tcPr>
            <w:tcW w:w="2409" w:type="dxa"/>
            <w:shd w:val="clear" w:color="auto" w:fill="auto"/>
          </w:tcPr>
          <w:p w14:paraId="1B6FF75F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factor B</w:t>
            </w:r>
          </w:p>
        </w:tc>
      </w:tr>
      <w:tr w:rsidR="00D67948" w:rsidRPr="00775056" w14:paraId="4D807B1C" w14:textId="77777777" w:rsidTr="00775056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FD4F7DC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color w:val="0A0A0A"/>
                <w:sz w:val="20"/>
                <w:szCs w:val="20"/>
              </w:rPr>
              <w:t>Methanethiol oxidase</w:t>
            </w:r>
          </w:p>
        </w:tc>
        <w:tc>
          <w:tcPr>
            <w:tcW w:w="2268" w:type="dxa"/>
            <w:shd w:val="clear" w:color="auto" w:fill="auto"/>
          </w:tcPr>
          <w:p w14:paraId="5835B436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Inter-alpha-trypsin inhibitor heavy chain H4</w:t>
            </w:r>
          </w:p>
        </w:tc>
        <w:tc>
          <w:tcPr>
            <w:tcW w:w="2268" w:type="dxa"/>
            <w:shd w:val="clear" w:color="auto" w:fill="auto"/>
          </w:tcPr>
          <w:p w14:paraId="1F4F5276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Thrombospondin-1</w:t>
            </w:r>
          </w:p>
        </w:tc>
        <w:tc>
          <w:tcPr>
            <w:tcW w:w="2409" w:type="dxa"/>
            <w:shd w:val="clear" w:color="auto" w:fill="auto"/>
          </w:tcPr>
          <w:p w14:paraId="411B4059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Inter-alpha-trypsin inhibitor heavy chain H2</w:t>
            </w:r>
          </w:p>
        </w:tc>
      </w:tr>
      <w:tr w:rsidR="00D67948" w:rsidRPr="00775056" w14:paraId="23E405D3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4FFC6C6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Serpin A3-1</w:t>
            </w:r>
          </w:p>
        </w:tc>
        <w:tc>
          <w:tcPr>
            <w:tcW w:w="2268" w:type="dxa"/>
            <w:shd w:val="clear" w:color="auto" w:fill="auto"/>
          </w:tcPr>
          <w:p w14:paraId="73797F7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Fetuin-B</w:t>
            </w:r>
          </w:p>
        </w:tc>
        <w:tc>
          <w:tcPr>
            <w:tcW w:w="2268" w:type="dxa"/>
            <w:shd w:val="clear" w:color="auto" w:fill="auto"/>
          </w:tcPr>
          <w:p w14:paraId="171B8A11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Plasminogen </w:t>
            </w:r>
          </w:p>
        </w:tc>
        <w:tc>
          <w:tcPr>
            <w:tcW w:w="2409" w:type="dxa"/>
            <w:shd w:val="clear" w:color="auto" w:fill="auto"/>
          </w:tcPr>
          <w:p w14:paraId="168C6AA5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Inter-alpha-trypsin inhibitor heavy chain H4</w:t>
            </w:r>
          </w:p>
        </w:tc>
      </w:tr>
      <w:tr w:rsidR="00D67948" w:rsidRPr="00775056" w14:paraId="705D5416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DC026DF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Antithrombin-III</w:t>
            </w:r>
          </w:p>
        </w:tc>
        <w:tc>
          <w:tcPr>
            <w:tcW w:w="2268" w:type="dxa"/>
            <w:shd w:val="clear" w:color="auto" w:fill="auto"/>
          </w:tcPr>
          <w:p w14:paraId="4FA03431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Actin</w:t>
            </w:r>
          </w:p>
        </w:tc>
        <w:tc>
          <w:tcPr>
            <w:tcW w:w="2268" w:type="dxa"/>
            <w:shd w:val="clear" w:color="auto" w:fill="auto"/>
          </w:tcPr>
          <w:p w14:paraId="4FFF2D51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Pigment epithelium-derived factor</w:t>
            </w:r>
          </w:p>
        </w:tc>
        <w:tc>
          <w:tcPr>
            <w:tcW w:w="2409" w:type="dxa"/>
            <w:shd w:val="clear" w:color="auto" w:fill="auto"/>
          </w:tcPr>
          <w:p w14:paraId="0B7A5D63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Thrombospondin-1</w:t>
            </w:r>
          </w:p>
        </w:tc>
      </w:tr>
      <w:tr w:rsidR="00D67948" w:rsidRPr="00775056" w14:paraId="5EE403A2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476FC7E1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proofErr w:type="gramStart"/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Similar to</w:t>
            </w:r>
            <w:proofErr w:type="gramEnd"/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 complement C4-A precursor</w:t>
            </w:r>
          </w:p>
        </w:tc>
        <w:tc>
          <w:tcPr>
            <w:tcW w:w="2268" w:type="dxa"/>
            <w:shd w:val="clear" w:color="auto" w:fill="auto"/>
          </w:tcPr>
          <w:p w14:paraId="2653CE31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factor H</w:t>
            </w:r>
          </w:p>
        </w:tc>
        <w:tc>
          <w:tcPr>
            <w:tcW w:w="2268" w:type="dxa"/>
            <w:shd w:val="clear" w:color="auto" w:fill="auto"/>
          </w:tcPr>
          <w:p w14:paraId="781A044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Plasminogen</w:t>
            </w:r>
          </w:p>
        </w:tc>
        <w:tc>
          <w:tcPr>
            <w:tcW w:w="2409" w:type="dxa"/>
            <w:shd w:val="clear" w:color="auto" w:fill="auto"/>
          </w:tcPr>
          <w:p w14:paraId="1922961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E</w:t>
            </w:r>
          </w:p>
        </w:tc>
      </w:tr>
      <w:tr w:rsidR="00D67948" w:rsidRPr="00775056" w14:paraId="5759B11E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C6C488C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Elongation factor 1-alpha</w:t>
            </w:r>
          </w:p>
        </w:tc>
        <w:tc>
          <w:tcPr>
            <w:tcW w:w="2268" w:type="dxa"/>
            <w:shd w:val="clear" w:color="auto" w:fill="auto"/>
          </w:tcPr>
          <w:p w14:paraId="112815E1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B-48</w:t>
            </w:r>
          </w:p>
        </w:tc>
        <w:tc>
          <w:tcPr>
            <w:tcW w:w="2268" w:type="dxa"/>
            <w:shd w:val="clear" w:color="auto" w:fill="auto"/>
          </w:tcPr>
          <w:p w14:paraId="49DC0552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E</w:t>
            </w:r>
          </w:p>
        </w:tc>
        <w:tc>
          <w:tcPr>
            <w:tcW w:w="2409" w:type="dxa"/>
            <w:shd w:val="clear" w:color="auto" w:fill="auto"/>
          </w:tcPr>
          <w:p w14:paraId="18C4F78E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Pigment epithelium-derived factor</w:t>
            </w:r>
          </w:p>
        </w:tc>
      </w:tr>
    </w:tbl>
    <w:p w14:paraId="26EC9E06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EE32EC1" w14:textId="77777777" w:rsidR="00775056" w:rsidRDefault="00775056">
      <w:pPr>
        <w:jc w:val="both"/>
        <w:rPr>
          <w:rFonts w:ascii="Arial" w:eastAsia="Times" w:hAnsi="Arial" w:cs="Arial"/>
          <w:b/>
          <w:sz w:val="24"/>
          <w:szCs w:val="24"/>
        </w:rPr>
      </w:pPr>
    </w:p>
    <w:p w14:paraId="196C803E" w14:textId="77777777" w:rsidR="00775056" w:rsidRDefault="00775056">
      <w:pPr>
        <w:jc w:val="both"/>
        <w:rPr>
          <w:rFonts w:ascii="Arial" w:eastAsia="Times" w:hAnsi="Arial" w:cs="Arial"/>
          <w:b/>
          <w:sz w:val="24"/>
          <w:szCs w:val="24"/>
        </w:rPr>
      </w:pPr>
    </w:p>
    <w:p w14:paraId="4B14A221" w14:textId="77777777" w:rsidR="00775056" w:rsidRDefault="00775056">
      <w:pPr>
        <w:jc w:val="both"/>
        <w:rPr>
          <w:rFonts w:ascii="Arial" w:eastAsia="Times" w:hAnsi="Arial" w:cs="Arial"/>
          <w:b/>
          <w:sz w:val="24"/>
          <w:szCs w:val="24"/>
        </w:rPr>
      </w:pPr>
    </w:p>
    <w:p w14:paraId="3279459D" w14:textId="72809D04" w:rsidR="00D67948" w:rsidRPr="00775056" w:rsidRDefault="00000000">
      <w:pPr>
        <w:jc w:val="both"/>
        <w:rPr>
          <w:rFonts w:ascii="Arial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lastRenderedPageBreak/>
        <w:t>Table S2:</w:t>
      </w:r>
      <w:r w:rsidRPr="00775056">
        <w:rPr>
          <w:rFonts w:ascii="Arial" w:eastAsia="Times" w:hAnsi="Arial" w:cs="Arial"/>
          <w:sz w:val="24"/>
          <w:szCs w:val="24"/>
        </w:rPr>
        <w:t xml:space="preserve"> 20 Most abundant proteins identified in human plasma and hard corona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NPs,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NPs-ZW,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NPs-ZW-FO in descending order.</w:t>
      </w:r>
    </w:p>
    <w:p w14:paraId="717077CA" w14:textId="77777777" w:rsidR="00D67948" w:rsidRPr="00775056" w:rsidRDefault="00D67948" w:rsidP="00775056">
      <w:pPr>
        <w:ind w:right="-2"/>
        <w:rPr>
          <w:rFonts w:ascii="Arial" w:hAnsi="Arial" w:cs="Arial"/>
          <w:sz w:val="24"/>
          <w:szCs w:val="24"/>
        </w:rPr>
      </w:pPr>
    </w:p>
    <w:tbl>
      <w:tblPr>
        <w:tblStyle w:val="a2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96"/>
        <w:gridCol w:w="2093"/>
        <w:gridCol w:w="2656"/>
      </w:tblGrid>
      <w:tr w:rsidR="00D67948" w:rsidRPr="00775056" w14:paraId="1AA34F7E" w14:textId="77777777" w:rsidTr="00775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2B085D6" w14:textId="77777777" w:rsidR="00D67948" w:rsidRPr="00775056" w:rsidRDefault="00000000" w:rsidP="0077505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PLASMA</w:t>
            </w:r>
          </w:p>
        </w:tc>
        <w:tc>
          <w:tcPr>
            <w:tcW w:w="2196" w:type="dxa"/>
            <w:shd w:val="clear" w:color="auto" w:fill="auto"/>
          </w:tcPr>
          <w:p w14:paraId="490B0330" w14:textId="77777777" w:rsidR="00D67948" w:rsidRPr="00775056" w:rsidRDefault="00000000" w:rsidP="007750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" w:hAnsi="Arial" w:cs="Arial"/>
                <w:sz w:val="20"/>
                <w:szCs w:val="20"/>
              </w:rPr>
              <w:t>SiO</w:t>
            </w:r>
            <w:r w:rsidRPr="00775056">
              <w:rPr>
                <w:rFonts w:ascii="Arial" w:eastAsia="Times" w:hAnsi="Arial" w:cs="Arial"/>
                <w:sz w:val="20"/>
                <w:szCs w:val="20"/>
                <w:vertAlign w:val="subscript"/>
              </w:rPr>
              <w:t>2</w:t>
            </w:r>
            <w:r w:rsidRPr="00775056">
              <w:rPr>
                <w:rFonts w:ascii="Arial" w:eastAsia="Times" w:hAnsi="Arial" w:cs="Arial"/>
                <w:sz w:val="20"/>
                <w:szCs w:val="20"/>
              </w:rPr>
              <w:t>NPs</w:t>
            </w:r>
          </w:p>
        </w:tc>
        <w:tc>
          <w:tcPr>
            <w:tcW w:w="2093" w:type="dxa"/>
            <w:shd w:val="clear" w:color="auto" w:fill="auto"/>
          </w:tcPr>
          <w:p w14:paraId="468614DE" w14:textId="77777777" w:rsidR="00D67948" w:rsidRPr="00775056" w:rsidRDefault="00000000" w:rsidP="007750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" w:hAnsi="Arial" w:cs="Arial"/>
                <w:sz w:val="20"/>
                <w:szCs w:val="20"/>
              </w:rPr>
              <w:t>SiO</w:t>
            </w:r>
            <w:r w:rsidRPr="00775056">
              <w:rPr>
                <w:rFonts w:ascii="Arial" w:eastAsia="Times" w:hAnsi="Arial" w:cs="Arial"/>
                <w:sz w:val="20"/>
                <w:szCs w:val="20"/>
                <w:vertAlign w:val="subscript"/>
              </w:rPr>
              <w:t>2</w:t>
            </w:r>
            <w:r w:rsidRPr="00775056">
              <w:rPr>
                <w:rFonts w:ascii="Arial" w:eastAsia="Times" w:hAnsi="Arial" w:cs="Arial"/>
                <w:sz w:val="20"/>
                <w:szCs w:val="20"/>
              </w:rPr>
              <w:t>NPs-ZW</w:t>
            </w:r>
          </w:p>
        </w:tc>
        <w:tc>
          <w:tcPr>
            <w:tcW w:w="2656" w:type="dxa"/>
            <w:shd w:val="clear" w:color="auto" w:fill="auto"/>
          </w:tcPr>
          <w:p w14:paraId="20DB5D9F" w14:textId="77777777" w:rsidR="00D67948" w:rsidRPr="00775056" w:rsidRDefault="00000000" w:rsidP="007750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" w:hAnsi="Arial" w:cs="Arial"/>
                <w:sz w:val="20"/>
                <w:szCs w:val="20"/>
              </w:rPr>
              <w:t>SiO</w:t>
            </w:r>
            <w:r w:rsidRPr="00775056">
              <w:rPr>
                <w:rFonts w:ascii="Arial" w:eastAsia="Times" w:hAnsi="Arial" w:cs="Arial"/>
                <w:sz w:val="20"/>
                <w:szCs w:val="20"/>
                <w:vertAlign w:val="subscript"/>
              </w:rPr>
              <w:t>2</w:t>
            </w:r>
            <w:r w:rsidRPr="00775056">
              <w:rPr>
                <w:rFonts w:ascii="Arial" w:eastAsia="Times" w:hAnsi="Arial" w:cs="Arial"/>
                <w:sz w:val="20"/>
                <w:szCs w:val="20"/>
              </w:rPr>
              <w:t>NPs-ZW-FO</w:t>
            </w:r>
          </w:p>
        </w:tc>
      </w:tr>
      <w:tr w:rsidR="00D67948" w:rsidRPr="00775056" w14:paraId="27F16C6A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62D4721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Albumin </w:t>
            </w:r>
          </w:p>
        </w:tc>
        <w:tc>
          <w:tcPr>
            <w:tcW w:w="2196" w:type="dxa"/>
            <w:shd w:val="clear" w:color="auto" w:fill="auto"/>
          </w:tcPr>
          <w:p w14:paraId="120E72DD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Apolipoprotein A-I </w:t>
            </w:r>
          </w:p>
        </w:tc>
        <w:tc>
          <w:tcPr>
            <w:tcW w:w="2093" w:type="dxa"/>
            <w:shd w:val="clear" w:color="auto" w:fill="auto"/>
          </w:tcPr>
          <w:p w14:paraId="4F5952C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B-100</w:t>
            </w:r>
          </w:p>
        </w:tc>
        <w:tc>
          <w:tcPr>
            <w:tcW w:w="2656" w:type="dxa"/>
            <w:shd w:val="clear" w:color="auto" w:fill="auto"/>
          </w:tcPr>
          <w:p w14:paraId="30C8F1CF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B-100</w:t>
            </w:r>
          </w:p>
        </w:tc>
      </w:tr>
      <w:tr w:rsidR="00D67948" w:rsidRPr="00775056" w14:paraId="628C7493" w14:textId="77777777" w:rsidTr="00775056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3D8ECA8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Apolipoprotein A-I </w:t>
            </w:r>
          </w:p>
        </w:tc>
        <w:tc>
          <w:tcPr>
            <w:tcW w:w="2196" w:type="dxa"/>
            <w:shd w:val="clear" w:color="auto" w:fill="auto"/>
          </w:tcPr>
          <w:p w14:paraId="63FBD42D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alpha chain</w:t>
            </w:r>
          </w:p>
        </w:tc>
        <w:tc>
          <w:tcPr>
            <w:tcW w:w="2093" w:type="dxa"/>
            <w:shd w:val="clear" w:color="auto" w:fill="auto"/>
          </w:tcPr>
          <w:p w14:paraId="4F07B8F5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Apolipoprotein A-I </w:t>
            </w:r>
          </w:p>
        </w:tc>
        <w:tc>
          <w:tcPr>
            <w:tcW w:w="2656" w:type="dxa"/>
            <w:shd w:val="clear" w:color="auto" w:fill="auto"/>
          </w:tcPr>
          <w:p w14:paraId="764F7D72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Apolipoprotein A-I </w:t>
            </w:r>
          </w:p>
        </w:tc>
      </w:tr>
      <w:tr w:rsidR="00D67948" w:rsidRPr="00775056" w14:paraId="14E70756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4161167A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Serotransferrin</w:t>
            </w:r>
          </w:p>
        </w:tc>
        <w:tc>
          <w:tcPr>
            <w:tcW w:w="2196" w:type="dxa"/>
            <w:shd w:val="clear" w:color="auto" w:fill="auto"/>
          </w:tcPr>
          <w:p w14:paraId="44A80F7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gamma chain</w:t>
            </w:r>
          </w:p>
        </w:tc>
        <w:tc>
          <w:tcPr>
            <w:tcW w:w="2093" w:type="dxa"/>
            <w:shd w:val="clear" w:color="auto" w:fill="auto"/>
          </w:tcPr>
          <w:p w14:paraId="7E659367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Histidine-rich glycoprotein </w:t>
            </w:r>
          </w:p>
        </w:tc>
        <w:tc>
          <w:tcPr>
            <w:tcW w:w="2656" w:type="dxa"/>
            <w:shd w:val="clear" w:color="auto" w:fill="auto"/>
          </w:tcPr>
          <w:p w14:paraId="19D4D47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alpha chain</w:t>
            </w:r>
          </w:p>
        </w:tc>
      </w:tr>
      <w:tr w:rsidR="00D67948" w:rsidRPr="00775056" w14:paraId="625438DE" w14:textId="77777777" w:rsidTr="0077505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E11339F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Alpha-1-antitrypsin </w:t>
            </w:r>
          </w:p>
        </w:tc>
        <w:tc>
          <w:tcPr>
            <w:tcW w:w="2196" w:type="dxa"/>
            <w:shd w:val="clear" w:color="auto" w:fill="auto"/>
          </w:tcPr>
          <w:p w14:paraId="74F6629B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beta chain</w:t>
            </w:r>
          </w:p>
        </w:tc>
        <w:tc>
          <w:tcPr>
            <w:tcW w:w="2093" w:type="dxa"/>
            <w:shd w:val="clear" w:color="auto" w:fill="auto"/>
          </w:tcPr>
          <w:p w14:paraId="2B31BA4A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alpha chain</w:t>
            </w:r>
          </w:p>
        </w:tc>
        <w:tc>
          <w:tcPr>
            <w:tcW w:w="2656" w:type="dxa"/>
            <w:shd w:val="clear" w:color="auto" w:fill="auto"/>
          </w:tcPr>
          <w:p w14:paraId="2DC4649A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gamma chain</w:t>
            </w:r>
          </w:p>
        </w:tc>
      </w:tr>
      <w:tr w:rsidR="00D67948" w:rsidRPr="00775056" w14:paraId="5DC43E17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4167D15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Immunoglobulin kappa </w:t>
            </w:r>
          </w:p>
        </w:tc>
        <w:tc>
          <w:tcPr>
            <w:tcW w:w="2196" w:type="dxa"/>
            <w:shd w:val="clear" w:color="auto" w:fill="auto"/>
          </w:tcPr>
          <w:p w14:paraId="7DC95FB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B-100</w:t>
            </w:r>
          </w:p>
        </w:tc>
        <w:tc>
          <w:tcPr>
            <w:tcW w:w="2093" w:type="dxa"/>
            <w:shd w:val="clear" w:color="auto" w:fill="auto"/>
          </w:tcPr>
          <w:p w14:paraId="31694466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Complement C1q subcomponent subunit C </w:t>
            </w:r>
          </w:p>
        </w:tc>
        <w:tc>
          <w:tcPr>
            <w:tcW w:w="2656" w:type="dxa"/>
            <w:shd w:val="clear" w:color="auto" w:fill="auto"/>
          </w:tcPr>
          <w:p w14:paraId="2E71C5F6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beta chain</w:t>
            </w:r>
          </w:p>
        </w:tc>
      </w:tr>
      <w:tr w:rsidR="00D67948" w:rsidRPr="00775056" w14:paraId="2C3271B4" w14:textId="77777777" w:rsidTr="00775056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4C8EDC62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Fibrinogen alpha chain</w:t>
            </w:r>
          </w:p>
        </w:tc>
        <w:tc>
          <w:tcPr>
            <w:tcW w:w="2196" w:type="dxa"/>
            <w:shd w:val="clear" w:color="auto" w:fill="auto"/>
          </w:tcPr>
          <w:p w14:paraId="1FA98840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Albumin </w:t>
            </w:r>
          </w:p>
        </w:tc>
        <w:tc>
          <w:tcPr>
            <w:tcW w:w="2093" w:type="dxa"/>
            <w:shd w:val="clear" w:color="auto" w:fill="auto"/>
          </w:tcPr>
          <w:p w14:paraId="45DCC143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C1q subcomponent subunit B</w:t>
            </w:r>
          </w:p>
        </w:tc>
        <w:tc>
          <w:tcPr>
            <w:tcW w:w="2656" w:type="dxa"/>
            <w:shd w:val="clear" w:color="auto" w:fill="auto"/>
          </w:tcPr>
          <w:p w14:paraId="40EF0227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E</w:t>
            </w:r>
          </w:p>
        </w:tc>
      </w:tr>
      <w:tr w:rsidR="00D67948" w:rsidRPr="00775056" w14:paraId="391347BF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640D092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Haptoglobin</w:t>
            </w:r>
          </w:p>
        </w:tc>
        <w:tc>
          <w:tcPr>
            <w:tcW w:w="2196" w:type="dxa"/>
            <w:shd w:val="clear" w:color="auto" w:fill="auto"/>
          </w:tcPr>
          <w:p w14:paraId="1F8E4423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heavy constant gamma 1 </w:t>
            </w:r>
          </w:p>
        </w:tc>
        <w:tc>
          <w:tcPr>
            <w:tcW w:w="2093" w:type="dxa"/>
            <w:shd w:val="clear" w:color="auto" w:fill="auto"/>
          </w:tcPr>
          <w:p w14:paraId="2FD8B70D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E</w:t>
            </w:r>
          </w:p>
        </w:tc>
        <w:tc>
          <w:tcPr>
            <w:tcW w:w="2656" w:type="dxa"/>
            <w:shd w:val="clear" w:color="auto" w:fill="auto"/>
          </w:tcPr>
          <w:p w14:paraId="27F33A60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heavy constant gamma 1 </w:t>
            </w:r>
          </w:p>
        </w:tc>
      </w:tr>
      <w:tr w:rsidR="00D67948" w:rsidRPr="00775056" w14:paraId="0C45EA21" w14:textId="77777777" w:rsidTr="00775056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3B4402E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Apolipoprotein B-100</w:t>
            </w:r>
          </w:p>
        </w:tc>
        <w:tc>
          <w:tcPr>
            <w:tcW w:w="2196" w:type="dxa"/>
            <w:shd w:val="clear" w:color="auto" w:fill="auto"/>
          </w:tcPr>
          <w:p w14:paraId="250EFDBA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Histidine-rich glycoprotein </w:t>
            </w:r>
          </w:p>
        </w:tc>
        <w:tc>
          <w:tcPr>
            <w:tcW w:w="2093" w:type="dxa"/>
            <w:shd w:val="clear" w:color="auto" w:fill="auto"/>
          </w:tcPr>
          <w:p w14:paraId="4B289A51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Trypsin</w:t>
            </w:r>
          </w:p>
        </w:tc>
        <w:tc>
          <w:tcPr>
            <w:tcW w:w="2656" w:type="dxa"/>
            <w:shd w:val="clear" w:color="auto" w:fill="auto"/>
          </w:tcPr>
          <w:p w14:paraId="6FB4F5C8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Histidine-rich glycoprotein </w:t>
            </w:r>
          </w:p>
        </w:tc>
      </w:tr>
      <w:tr w:rsidR="00D67948" w:rsidRPr="00775056" w14:paraId="6FE7CAB1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13399D3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Fibrinogen gamma chain</w:t>
            </w:r>
          </w:p>
        </w:tc>
        <w:tc>
          <w:tcPr>
            <w:tcW w:w="2196" w:type="dxa"/>
            <w:shd w:val="clear" w:color="auto" w:fill="auto"/>
          </w:tcPr>
          <w:p w14:paraId="63A12970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E</w:t>
            </w:r>
          </w:p>
        </w:tc>
        <w:tc>
          <w:tcPr>
            <w:tcW w:w="2093" w:type="dxa"/>
            <w:shd w:val="clear" w:color="auto" w:fill="auto"/>
          </w:tcPr>
          <w:p w14:paraId="38BF9C35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heavy constant gamma 1 </w:t>
            </w:r>
          </w:p>
        </w:tc>
        <w:tc>
          <w:tcPr>
            <w:tcW w:w="2656" w:type="dxa"/>
            <w:shd w:val="clear" w:color="auto" w:fill="auto"/>
          </w:tcPr>
          <w:p w14:paraId="29D87406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kappa </w:t>
            </w:r>
          </w:p>
        </w:tc>
      </w:tr>
      <w:tr w:rsidR="00D67948" w:rsidRPr="00775056" w14:paraId="6BDF6341" w14:textId="77777777" w:rsidTr="00775056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A57D134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Immunoglobulin lambda constant 3 </w:t>
            </w:r>
          </w:p>
        </w:tc>
        <w:tc>
          <w:tcPr>
            <w:tcW w:w="2196" w:type="dxa"/>
            <w:shd w:val="clear" w:color="auto" w:fill="auto"/>
          </w:tcPr>
          <w:p w14:paraId="060176C2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A-II</w:t>
            </w:r>
          </w:p>
        </w:tc>
        <w:tc>
          <w:tcPr>
            <w:tcW w:w="2093" w:type="dxa"/>
            <w:shd w:val="clear" w:color="auto" w:fill="auto"/>
          </w:tcPr>
          <w:p w14:paraId="0135B32B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kappa </w:t>
            </w:r>
          </w:p>
        </w:tc>
        <w:tc>
          <w:tcPr>
            <w:tcW w:w="2656" w:type="dxa"/>
            <w:shd w:val="clear" w:color="auto" w:fill="auto"/>
          </w:tcPr>
          <w:p w14:paraId="04271F10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Trypsin</w:t>
            </w:r>
          </w:p>
        </w:tc>
      </w:tr>
      <w:tr w:rsidR="00D67948" w:rsidRPr="00775056" w14:paraId="57FEB4A6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3EFB405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Immunoglobulin heavy constant alpha 1</w:t>
            </w:r>
          </w:p>
        </w:tc>
        <w:tc>
          <w:tcPr>
            <w:tcW w:w="2196" w:type="dxa"/>
            <w:shd w:val="clear" w:color="auto" w:fill="auto"/>
          </w:tcPr>
          <w:p w14:paraId="4DDA2B10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kappa </w:t>
            </w:r>
          </w:p>
        </w:tc>
        <w:tc>
          <w:tcPr>
            <w:tcW w:w="2093" w:type="dxa"/>
            <w:shd w:val="clear" w:color="auto" w:fill="auto"/>
          </w:tcPr>
          <w:p w14:paraId="45B2D968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gamma chain</w:t>
            </w:r>
          </w:p>
        </w:tc>
        <w:tc>
          <w:tcPr>
            <w:tcW w:w="2656" w:type="dxa"/>
            <w:shd w:val="clear" w:color="auto" w:fill="auto"/>
          </w:tcPr>
          <w:p w14:paraId="794B476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Albumin </w:t>
            </w:r>
          </w:p>
        </w:tc>
      </w:tr>
      <w:tr w:rsidR="00D67948" w:rsidRPr="00775056" w14:paraId="572C68BA" w14:textId="77777777" w:rsidTr="0077505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1651EBE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Fibrinogen beta chain</w:t>
            </w:r>
          </w:p>
        </w:tc>
        <w:tc>
          <w:tcPr>
            <w:tcW w:w="2196" w:type="dxa"/>
            <w:shd w:val="clear" w:color="auto" w:fill="auto"/>
          </w:tcPr>
          <w:p w14:paraId="7F594213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Sialic acid-binding Ig-like lectin</w:t>
            </w:r>
          </w:p>
        </w:tc>
        <w:tc>
          <w:tcPr>
            <w:tcW w:w="2093" w:type="dxa"/>
            <w:shd w:val="clear" w:color="auto" w:fill="auto"/>
          </w:tcPr>
          <w:p w14:paraId="1E48D80D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C1q subcomponent subunit A</w:t>
            </w:r>
          </w:p>
        </w:tc>
        <w:tc>
          <w:tcPr>
            <w:tcW w:w="2656" w:type="dxa"/>
            <w:shd w:val="clear" w:color="auto" w:fill="auto"/>
          </w:tcPr>
          <w:p w14:paraId="6B953C04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Complement C1q subcomponent subunit C </w:t>
            </w:r>
          </w:p>
        </w:tc>
      </w:tr>
      <w:tr w:rsidR="00D67948" w:rsidRPr="00775056" w14:paraId="04AE28B4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DBA8A66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Immunoglobulin heavy constant gamma 1 </w:t>
            </w:r>
          </w:p>
        </w:tc>
        <w:tc>
          <w:tcPr>
            <w:tcW w:w="2196" w:type="dxa"/>
            <w:shd w:val="clear" w:color="auto" w:fill="auto"/>
          </w:tcPr>
          <w:p w14:paraId="585C5B4C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Serum amyloid A-4 </w:t>
            </w:r>
          </w:p>
        </w:tc>
        <w:tc>
          <w:tcPr>
            <w:tcW w:w="2093" w:type="dxa"/>
            <w:shd w:val="clear" w:color="auto" w:fill="auto"/>
          </w:tcPr>
          <w:p w14:paraId="6A275031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Albumin </w:t>
            </w:r>
          </w:p>
        </w:tc>
        <w:tc>
          <w:tcPr>
            <w:tcW w:w="2656" w:type="dxa"/>
            <w:shd w:val="clear" w:color="auto" w:fill="auto"/>
          </w:tcPr>
          <w:p w14:paraId="013C62FD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lambda constant 3 </w:t>
            </w:r>
          </w:p>
        </w:tc>
      </w:tr>
      <w:tr w:rsidR="00D67948" w:rsidRPr="00775056" w14:paraId="3AB24430" w14:textId="77777777" w:rsidTr="00775056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85C3BFD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Apolipoprotein A-IV </w:t>
            </w:r>
          </w:p>
        </w:tc>
        <w:tc>
          <w:tcPr>
            <w:tcW w:w="2196" w:type="dxa"/>
            <w:shd w:val="clear" w:color="auto" w:fill="auto"/>
          </w:tcPr>
          <w:p w14:paraId="75761987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color w:val="0A0A0A"/>
                <w:sz w:val="20"/>
                <w:szCs w:val="20"/>
              </w:rPr>
              <w:t>Trypsin</w:t>
            </w:r>
          </w:p>
        </w:tc>
        <w:tc>
          <w:tcPr>
            <w:tcW w:w="2093" w:type="dxa"/>
            <w:shd w:val="clear" w:color="auto" w:fill="auto"/>
          </w:tcPr>
          <w:p w14:paraId="4EBE4EEF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Fibrinogen beta chain</w:t>
            </w:r>
          </w:p>
        </w:tc>
        <w:tc>
          <w:tcPr>
            <w:tcW w:w="2656" w:type="dxa"/>
            <w:shd w:val="clear" w:color="auto" w:fill="auto"/>
          </w:tcPr>
          <w:p w14:paraId="75E704DB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C1q subcomponent subunit B</w:t>
            </w:r>
          </w:p>
        </w:tc>
      </w:tr>
      <w:tr w:rsidR="00D67948" w:rsidRPr="00775056" w14:paraId="2A09F03D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3EEBE60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Vitamin D-binding protein</w:t>
            </w:r>
          </w:p>
        </w:tc>
        <w:tc>
          <w:tcPr>
            <w:tcW w:w="2196" w:type="dxa"/>
            <w:shd w:val="clear" w:color="auto" w:fill="auto"/>
          </w:tcPr>
          <w:p w14:paraId="590A5A04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Gelsolin</w:t>
            </w:r>
          </w:p>
        </w:tc>
        <w:tc>
          <w:tcPr>
            <w:tcW w:w="2093" w:type="dxa"/>
            <w:shd w:val="clear" w:color="auto" w:fill="auto"/>
          </w:tcPr>
          <w:p w14:paraId="7D2C2FEE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lambda constant 3 </w:t>
            </w:r>
          </w:p>
        </w:tc>
        <w:tc>
          <w:tcPr>
            <w:tcW w:w="2656" w:type="dxa"/>
            <w:shd w:val="clear" w:color="auto" w:fill="auto"/>
          </w:tcPr>
          <w:p w14:paraId="2337AD8E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Serum amyloid A-4 </w:t>
            </w:r>
          </w:p>
        </w:tc>
      </w:tr>
      <w:tr w:rsidR="00D67948" w:rsidRPr="00775056" w14:paraId="09434CA4" w14:textId="77777777" w:rsidTr="00775056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A520ADB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Transthyretin </w:t>
            </w:r>
          </w:p>
        </w:tc>
        <w:tc>
          <w:tcPr>
            <w:tcW w:w="2196" w:type="dxa"/>
            <w:shd w:val="clear" w:color="auto" w:fill="auto"/>
          </w:tcPr>
          <w:p w14:paraId="18776454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lambda constant 3 </w:t>
            </w:r>
          </w:p>
        </w:tc>
        <w:tc>
          <w:tcPr>
            <w:tcW w:w="2093" w:type="dxa"/>
            <w:shd w:val="clear" w:color="auto" w:fill="auto"/>
          </w:tcPr>
          <w:p w14:paraId="3750AC27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Plasma kallikrein </w:t>
            </w:r>
          </w:p>
        </w:tc>
        <w:tc>
          <w:tcPr>
            <w:tcW w:w="2656" w:type="dxa"/>
            <w:shd w:val="clear" w:color="auto" w:fill="auto"/>
          </w:tcPr>
          <w:p w14:paraId="2CE93281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C1q subcomponent subunit A</w:t>
            </w:r>
          </w:p>
        </w:tc>
      </w:tr>
      <w:tr w:rsidR="00D67948" w:rsidRPr="00775056" w14:paraId="5BE12FB5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75DFF7E2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Alpha-1-antichymotrypsin </w:t>
            </w:r>
          </w:p>
        </w:tc>
        <w:tc>
          <w:tcPr>
            <w:tcW w:w="2196" w:type="dxa"/>
            <w:shd w:val="clear" w:color="auto" w:fill="auto"/>
          </w:tcPr>
          <w:p w14:paraId="2C357DCF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Complement C1q subcomponent subunit C </w:t>
            </w:r>
          </w:p>
        </w:tc>
        <w:tc>
          <w:tcPr>
            <w:tcW w:w="2093" w:type="dxa"/>
            <w:shd w:val="clear" w:color="auto" w:fill="auto"/>
          </w:tcPr>
          <w:p w14:paraId="1B282679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Immunoglobulin heavy constant mu</w:t>
            </w:r>
          </w:p>
        </w:tc>
        <w:tc>
          <w:tcPr>
            <w:tcW w:w="2656" w:type="dxa"/>
            <w:shd w:val="clear" w:color="auto" w:fill="auto"/>
          </w:tcPr>
          <w:p w14:paraId="6E58B33D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Complement C3 </w:t>
            </w:r>
          </w:p>
        </w:tc>
      </w:tr>
      <w:tr w:rsidR="00D67948" w:rsidRPr="00775056" w14:paraId="4CAB660B" w14:textId="77777777" w:rsidTr="00775056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8F01907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color w:val="0A0A0A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color w:val="0A0A0A"/>
                <w:sz w:val="20"/>
                <w:szCs w:val="20"/>
              </w:rPr>
              <w:t>Trypsin</w:t>
            </w:r>
          </w:p>
        </w:tc>
        <w:tc>
          <w:tcPr>
            <w:tcW w:w="2196" w:type="dxa"/>
            <w:shd w:val="clear" w:color="auto" w:fill="auto"/>
          </w:tcPr>
          <w:p w14:paraId="5DFD1F6C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Complement C1q subcomponent subunit B</w:t>
            </w:r>
          </w:p>
        </w:tc>
        <w:tc>
          <w:tcPr>
            <w:tcW w:w="2093" w:type="dxa"/>
            <w:shd w:val="clear" w:color="auto" w:fill="auto"/>
          </w:tcPr>
          <w:p w14:paraId="52AB5211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Complement C3 </w:t>
            </w:r>
          </w:p>
        </w:tc>
        <w:tc>
          <w:tcPr>
            <w:tcW w:w="2656" w:type="dxa"/>
            <w:shd w:val="clear" w:color="auto" w:fill="auto"/>
          </w:tcPr>
          <w:p w14:paraId="11783C3B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Apolipoprotein A-II</w:t>
            </w:r>
          </w:p>
        </w:tc>
      </w:tr>
      <w:tr w:rsidR="00D67948" w:rsidRPr="00775056" w14:paraId="07E3118F" w14:textId="77777777" w:rsidTr="00775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676A031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Alpha-2-macroglobulin</w:t>
            </w:r>
          </w:p>
        </w:tc>
        <w:tc>
          <w:tcPr>
            <w:tcW w:w="2196" w:type="dxa"/>
            <w:shd w:val="clear" w:color="auto" w:fill="auto"/>
          </w:tcPr>
          <w:p w14:paraId="6FEC5CBA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Complement C3 </w:t>
            </w:r>
          </w:p>
        </w:tc>
        <w:tc>
          <w:tcPr>
            <w:tcW w:w="2093" w:type="dxa"/>
            <w:shd w:val="clear" w:color="auto" w:fill="auto"/>
          </w:tcPr>
          <w:p w14:paraId="59AE3F1C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Kininogen-1 </w:t>
            </w:r>
          </w:p>
        </w:tc>
        <w:tc>
          <w:tcPr>
            <w:tcW w:w="2656" w:type="dxa"/>
            <w:shd w:val="clear" w:color="auto" w:fill="auto"/>
          </w:tcPr>
          <w:p w14:paraId="0CB7F29C" w14:textId="77777777" w:rsidR="00D67948" w:rsidRPr="0077505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Sialic acid-binding Ig-like lectin</w:t>
            </w:r>
          </w:p>
        </w:tc>
      </w:tr>
      <w:tr w:rsidR="00D67948" w:rsidRPr="00775056" w14:paraId="006ED71B" w14:textId="77777777" w:rsidTr="007750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2D2547FC" w14:textId="77777777" w:rsidR="00D67948" w:rsidRPr="00775056" w:rsidRDefault="00000000">
            <w:pPr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 xml:space="preserve">Plasma protease C1 inhibitor </w:t>
            </w:r>
          </w:p>
        </w:tc>
        <w:tc>
          <w:tcPr>
            <w:tcW w:w="2196" w:type="dxa"/>
            <w:shd w:val="clear" w:color="auto" w:fill="auto"/>
          </w:tcPr>
          <w:p w14:paraId="0A474865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Apolipoprotein A-IV </w:t>
            </w:r>
          </w:p>
        </w:tc>
        <w:tc>
          <w:tcPr>
            <w:tcW w:w="2093" w:type="dxa"/>
            <w:shd w:val="clear" w:color="auto" w:fill="auto"/>
          </w:tcPr>
          <w:p w14:paraId="6BB106DB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 xml:space="preserve">Immunoglobulin heavy constant gamma 3 </w:t>
            </w:r>
          </w:p>
        </w:tc>
        <w:tc>
          <w:tcPr>
            <w:tcW w:w="2656" w:type="dxa"/>
            <w:shd w:val="clear" w:color="auto" w:fill="auto"/>
          </w:tcPr>
          <w:p w14:paraId="0160FA4C" w14:textId="77777777" w:rsidR="00D67948" w:rsidRPr="0077505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775056">
              <w:rPr>
                <w:rFonts w:ascii="Arial" w:eastAsia="Times New Roman" w:hAnsi="Arial" w:cs="Arial"/>
                <w:sz w:val="20"/>
                <w:szCs w:val="20"/>
              </w:rPr>
              <w:t>Immunoglobulin heavy constant mu</w:t>
            </w:r>
          </w:p>
        </w:tc>
      </w:tr>
    </w:tbl>
    <w:p w14:paraId="373EE1B4" w14:textId="77777777" w:rsidR="00D67948" w:rsidRPr="00775056" w:rsidRDefault="00D67948">
      <w:pPr>
        <w:jc w:val="center"/>
        <w:rPr>
          <w:rFonts w:ascii="Arial" w:hAnsi="Arial" w:cs="Arial"/>
          <w:sz w:val="24"/>
          <w:szCs w:val="24"/>
        </w:rPr>
      </w:pPr>
    </w:p>
    <w:p w14:paraId="0D3F9378" w14:textId="77777777" w:rsidR="00D67948" w:rsidRPr="00775056" w:rsidRDefault="00000000">
      <w:pPr>
        <w:jc w:val="center"/>
        <w:rPr>
          <w:rFonts w:ascii="Arial" w:hAnsi="Arial" w:cs="Arial"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3DCB0E7" wp14:editId="347B6D4D">
            <wp:extent cx="2362200" cy="1981200"/>
            <wp:effectExtent l="0" t="0" r="0" b="0"/>
            <wp:docPr id="1862370540" name="image4.png" descr="Gráfi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áfico&#10;&#10;Descrição gerada automa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091B9D" w14:textId="77777777" w:rsidR="00D67948" w:rsidRPr="00775056" w:rsidRDefault="00000000">
      <w:pPr>
        <w:jc w:val="both"/>
        <w:rPr>
          <w:rFonts w:ascii="Arial" w:eastAsia="Times" w:hAnsi="Arial" w:cs="Arial"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t>Figure S7:</w:t>
      </w:r>
      <w:r w:rsidRPr="00775056">
        <w:rPr>
          <w:rFonts w:ascii="Arial" w:eastAsia="Times" w:hAnsi="Arial" w:cs="Arial"/>
          <w:sz w:val="24"/>
          <w:szCs w:val="24"/>
        </w:rPr>
        <w:t xml:space="preserve"> Hemolytic activity of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NPs,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NPs-ZW,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NPs-ZW-NH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,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 xml:space="preserve">NPs-ZW-FO diluted in PBS 1x. The concentrations of NPs used were 0.5 and 1.0 mg </w:t>
      </w:r>
      <w:proofErr w:type="gramStart"/>
      <w:r w:rsidRPr="00775056">
        <w:rPr>
          <w:rFonts w:ascii="Arial" w:eastAsia="Times" w:hAnsi="Arial" w:cs="Arial"/>
          <w:sz w:val="24"/>
          <w:szCs w:val="24"/>
        </w:rPr>
        <w:t>mL</w:t>
      </w:r>
      <w:r w:rsidRPr="00775056">
        <w:rPr>
          <w:rFonts w:ascii="Arial" w:eastAsia="Times" w:hAnsi="Arial" w:cs="Arial"/>
          <w:sz w:val="24"/>
          <w:szCs w:val="24"/>
          <w:vertAlign w:val="superscript"/>
        </w:rPr>
        <w:t>–1</w:t>
      </w:r>
      <w:proofErr w:type="gramEnd"/>
      <w:r w:rsidRPr="00775056">
        <w:rPr>
          <w:rFonts w:ascii="Arial" w:eastAsia="Times" w:hAnsi="Arial" w:cs="Arial"/>
          <w:sz w:val="24"/>
          <w:szCs w:val="24"/>
        </w:rPr>
        <w:t>. Results are presented as mean ± standard deviation (n=3). The common symbols on the tops of the bars indicate that there is no statistical difference between them. For samples marked with an asterisk, no significant hemolysis was observed.</w:t>
      </w:r>
    </w:p>
    <w:p w14:paraId="077538A5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70AC6EB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37DE8F5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05ED2B4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0C5F2BF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4FE5B6F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D069594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40A529F4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1B4751A8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1A144F9C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183EC248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3AAFF6E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B9F14D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70EE7229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69E7FBE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9973E6B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0A4250A9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2D1D294E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52C65ADE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1E98E612" w14:textId="77777777" w:rsidR="00D67948" w:rsidRPr="00775056" w:rsidRDefault="00D67948">
      <w:pPr>
        <w:rPr>
          <w:rFonts w:ascii="Arial" w:hAnsi="Arial" w:cs="Arial"/>
          <w:sz w:val="24"/>
          <w:szCs w:val="24"/>
        </w:rPr>
      </w:pPr>
    </w:p>
    <w:p w14:paraId="6ABEF7D5" w14:textId="77777777" w:rsidR="00D67948" w:rsidRPr="00775056" w:rsidRDefault="00000000">
      <w:pPr>
        <w:jc w:val="center"/>
        <w:rPr>
          <w:rFonts w:ascii="Arial" w:hAnsi="Arial" w:cs="Arial"/>
          <w:sz w:val="24"/>
          <w:szCs w:val="24"/>
        </w:rPr>
      </w:pPr>
      <w:r w:rsidRPr="00775056">
        <w:rPr>
          <w:rFonts w:ascii="Arial" w:hAnsi="Arial" w:cs="Arial"/>
          <w:sz w:val="24"/>
          <w:szCs w:val="24"/>
        </w:rPr>
        <w:lastRenderedPageBreak/>
        <w:t xml:space="preserve"> </w:t>
      </w:r>
      <w:r w:rsidRPr="0077505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E1D0593" wp14:editId="3A6BDA1B">
            <wp:extent cx="2948400" cy="1805895"/>
            <wp:effectExtent l="0" t="0" r="0" b="0"/>
            <wp:docPr id="1862370543" name="image2.png" descr="Interface gráfica do usuári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nterface gráfica do usuário&#10;&#10;Descrição gerada automaticamente com confiança baixa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8400" cy="1805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36A888" w14:textId="77777777" w:rsidR="00D67948" w:rsidRPr="00775056" w:rsidRDefault="00000000">
      <w:pPr>
        <w:jc w:val="both"/>
        <w:rPr>
          <w:rFonts w:ascii="Arial" w:eastAsia="Times" w:hAnsi="Arial" w:cs="Arial"/>
          <w:sz w:val="24"/>
          <w:szCs w:val="24"/>
        </w:rPr>
      </w:pPr>
      <w:bookmarkStart w:id="3" w:name="_heading=h.1fob9te" w:colFirst="0" w:colLast="0"/>
      <w:bookmarkEnd w:id="3"/>
      <w:r w:rsidRPr="00775056">
        <w:rPr>
          <w:rFonts w:ascii="Arial" w:eastAsia="Times" w:hAnsi="Arial" w:cs="Arial"/>
          <w:b/>
          <w:sz w:val="24"/>
          <w:szCs w:val="24"/>
        </w:rPr>
        <w:t>Figure S8:</w:t>
      </w:r>
      <w:r w:rsidRPr="00775056">
        <w:rPr>
          <w:rFonts w:ascii="Arial" w:eastAsia="Times" w:hAnsi="Arial" w:cs="Arial"/>
          <w:sz w:val="24"/>
          <w:szCs w:val="24"/>
        </w:rPr>
        <w:t xml:space="preserve"> Western Blot of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HaCat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 xml:space="preserve"> and KB cell lysates (20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μg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 xml:space="preserve"> protein), showing identification of the folate receptor (37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kDa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 xml:space="preserve">) by the anti-folate receptor alpha antibody. FRα: Folate alpha receptor. As expected, the band referring to FRα in the KB cell was more intense than the one in the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HaCat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 xml:space="preserve"> cell, indicating a higher expression of the receptor. β-actin protein (42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kDa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>) was used as a loading control.</w:t>
      </w:r>
    </w:p>
    <w:p w14:paraId="3AEC3070" w14:textId="77777777" w:rsidR="00D67948" w:rsidRPr="00775056" w:rsidRDefault="00D67948">
      <w:pPr>
        <w:jc w:val="center"/>
        <w:rPr>
          <w:rFonts w:ascii="Arial" w:hAnsi="Arial" w:cs="Arial"/>
          <w:sz w:val="24"/>
          <w:szCs w:val="24"/>
        </w:rPr>
      </w:pPr>
    </w:p>
    <w:p w14:paraId="120B1A06" w14:textId="77777777" w:rsidR="00D67948" w:rsidRPr="00775056" w:rsidRDefault="00D67948">
      <w:pPr>
        <w:jc w:val="center"/>
        <w:rPr>
          <w:rFonts w:ascii="Arial" w:hAnsi="Arial" w:cs="Arial"/>
          <w:sz w:val="24"/>
          <w:szCs w:val="24"/>
        </w:rPr>
      </w:pPr>
    </w:p>
    <w:p w14:paraId="4EF209C8" w14:textId="77777777" w:rsidR="00D67948" w:rsidRPr="00775056" w:rsidRDefault="00D67948">
      <w:pPr>
        <w:jc w:val="center"/>
        <w:rPr>
          <w:rFonts w:ascii="Arial" w:hAnsi="Arial" w:cs="Arial"/>
          <w:sz w:val="24"/>
          <w:szCs w:val="24"/>
        </w:rPr>
      </w:pPr>
    </w:p>
    <w:p w14:paraId="366E20F0" w14:textId="77777777" w:rsidR="00D67948" w:rsidRPr="00775056" w:rsidRDefault="00000000">
      <w:pPr>
        <w:jc w:val="center"/>
        <w:rPr>
          <w:rFonts w:ascii="Arial" w:hAnsi="Arial" w:cs="Arial"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69B0178" wp14:editId="61F7A556">
            <wp:extent cx="3775090" cy="8016240"/>
            <wp:effectExtent l="0" t="0" r="0" b="3810"/>
            <wp:docPr id="1862370542" name="image10.png" descr="Tela de celular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Tela de celular&#10;&#10;Descrição gerada automaticamente com confiança baixa"/>
                    <pic:cNvPicPr preferRelativeResize="0"/>
                  </pic:nvPicPr>
                  <pic:blipFill>
                    <a:blip r:embed="rId13"/>
                    <a:srcRect l="2275" t="856" r="2950" b="1674"/>
                    <a:stretch>
                      <a:fillRect/>
                    </a:stretch>
                  </pic:blipFill>
                  <pic:spPr>
                    <a:xfrm>
                      <a:off x="0" y="0"/>
                      <a:ext cx="3811874" cy="809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F26484" w14:textId="77777777" w:rsidR="00D67948" w:rsidRPr="00775056" w:rsidRDefault="00000000">
      <w:pPr>
        <w:jc w:val="both"/>
        <w:rPr>
          <w:rFonts w:ascii="Arial" w:eastAsia="Times" w:hAnsi="Arial" w:cs="Arial"/>
          <w:sz w:val="24"/>
          <w:szCs w:val="24"/>
        </w:rPr>
      </w:pPr>
      <w:bookmarkStart w:id="4" w:name="_heading=h.3znysh7" w:colFirst="0" w:colLast="0"/>
      <w:bookmarkEnd w:id="4"/>
      <w:r w:rsidRPr="00775056">
        <w:rPr>
          <w:rFonts w:ascii="Arial" w:eastAsia="Times" w:hAnsi="Arial" w:cs="Arial"/>
          <w:b/>
          <w:sz w:val="24"/>
          <w:szCs w:val="24"/>
        </w:rPr>
        <w:t>Figure S9:</w:t>
      </w:r>
      <w:r w:rsidRPr="00775056">
        <w:rPr>
          <w:rFonts w:ascii="Arial" w:eastAsia="Times" w:hAnsi="Arial" w:cs="Arial"/>
          <w:sz w:val="24"/>
          <w:szCs w:val="24"/>
        </w:rPr>
        <w:t xml:space="preserve"> Cell targeting assay using non-functionalized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NPs-ZW-FO, after a) 6 h, b) 12 h, and c) 24 h of incubation, obtained by Operetta microscope. Cells were stained with DAPI (cell nucleus, blue) and phalloidin 488 (actin filaments, green)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 xml:space="preserve">NPs can be visualized in red. Scale bar: 50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μm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>.</w:t>
      </w:r>
    </w:p>
    <w:p w14:paraId="129DCC95" w14:textId="77777777" w:rsidR="00D67948" w:rsidRPr="00775056" w:rsidRDefault="00000000">
      <w:pPr>
        <w:jc w:val="center"/>
        <w:rPr>
          <w:rFonts w:ascii="Arial" w:hAnsi="Arial" w:cs="Arial"/>
          <w:sz w:val="24"/>
          <w:szCs w:val="24"/>
        </w:rPr>
      </w:pPr>
      <w:r w:rsidRPr="0077505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77F3C93" wp14:editId="2743A5D3">
            <wp:extent cx="4070985" cy="1839595"/>
            <wp:effectExtent l="0" t="0" r="0" b="0"/>
            <wp:docPr id="1862370544" name="image1.png" descr="Gráfico, Gráfico de barras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áfico, Gráfico de barras&#10;&#10;Descrição gerada automaticament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0985" cy="1839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E2C99" w14:textId="77777777" w:rsidR="00D67948" w:rsidRPr="00775056" w:rsidRDefault="00000000">
      <w:pPr>
        <w:spacing w:after="0" w:line="240" w:lineRule="auto"/>
        <w:jc w:val="both"/>
        <w:rPr>
          <w:rFonts w:ascii="Arial" w:eastAsia="Times" w:hAnsi="Arial" w:cs="Arial"/>
          <w:b/>
          <w:sz w:val="24"/>
          <w:szCs w:val="24"/>
        </w:rPr>
      </w:pPr>
      <w:r w:rsidRPr="00775056">
        <w:rPr>
          <w:rFonts w:ascii="Arial" w:eastAsia="Times" w:hAnsi="Arial" w:cs="Arial"/>
          <w:b/>
          <w:sz w:val="24"/>
          <w:szCs w:val="24"/>
        </w:rPr>
        <w:t>Figure S10:</w:t>
      </w:r>
      <w:r w:rsidRPr="00775056">
        <w:rPr>
          <w:rFonts w:ascii="Arial" w:eastAsia="Times" w:hAnsi="Arial" w:cs="Arial"/>
          <w:sz w:val="24"/>
          <w:szCs w:val="24"/>
        </w:rPr>
        <w:t xml:space="preserve"> Percentage of positive cells for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NPs,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>NPs-ZW, and SiO</w:t>
      </w:r>
      <w:r w:rsidRPr="00775056">
        <w:rPr>
          <w:rFonts w:ascii="Arial" w:eastAsia="Times" w:hAnsi="Arial" w:cs="Arial"/>
          <w:sz w:val="24"/>
          <w:szCs w:val="24"/>
          <w:vertAlign w:val="subscript"/>
        </w:rPr>
        <w:t>2</w:t>
      </w:r>
      <w:r w:rsidRPr="00775056">
        <w:rPr>
          <w:rFonts w:ascii="Arial" w:eastAsia="Times" w:hAnsi="Arial" w:cs="Arial"/>
          <w:sz w:val="24"/>
          <w:szCs w:val="24"/>
        </w:rPr>
        <w:t xml:space="preserve">NPs-ZW-FO, where a) </w:t>
      </w:r>
      <w:proofErr w:type="spellStart"/>
      <w:r w:rsidRPr="00775056">
        <w:rPr>
          <w:rFonts w:ascii="Arial" w:eastAsia="Times" w:hAnsi="Arial" w:cs="Arial"/>
          <w:sz w:val="24"/>
          <w:szCs w:val="24"/>
        </w:rPr>
        <w:t>HaCat</w:t>
      </w:r>
      <w:proofErr w:type="spellEnd"/>
      <w:r w:rsidRPr="00775056">
        <w:rPr>
          <w:rFonts w:ascii="Arial" w:eastAsia="Times" w:hAnsi="Arial" w:cs="Arial"/>
          <w:sz w:val="24"/>
          <w:szCs w:val="24"/>
        </w:rPr>
        <w:t xml:space="preserve"> and b) KB cells.</w:t>
      </w:r>
    </w:p>
    <w:p w14:paraId="7CC1B375" w14:textId="77777777" w:rsidR="00D67948" w:rsidRPr="00775056" w:rsidRDefault="00D67948">
      <w:pPr>
        <w:jc w:val="both"/>
        <w:rPr>
          <w:rFonts w:ascii="Arial" w:hAnsi="Arial" w:cs="Arial"/>
          <w:sz w:val="24"/>
          <w:szCs w:val="24"/>
        </w:rPr>
      </w:pPr>
    </w:p>
    <w:sectPr w:rsidR="00D67948" w:rsidRPr="00775056" w:rsidSect="00775056">
      <w:pgSz w:w="11906" w:h="16838"/>
      <w:pgMar w:top="1418" w:right="1418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48"/>
    <w:rsid w:val="001020F6"/>
    <w:rsid w:val="003675F6"/>
    <w:rsid w:val="00426D73"/>
    <w:rsid w:val="00775056"/>
    <w:rsid w:val="00BC5C29"/>
    <w:rsid w:val="00D67948"/>
    <w:rsid w:val="00D841D5"/>
    <w:rsid w:val="00FC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F09BC"/>
  <w15:docId w15:val="{6C33DC50-1041-49F2-A5A4-A8C79EA1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D10"/>
  </w:style>
  <w:style w:type="paragraph" w:styleId="Ttulo1">
    <w:name w:val="heading 1"/>
    <w:basedOn w:val="Normal"/>
    <w:next w:val="Normal"/>
    <w:link w:val="Ttulo1Char"/>
    <w:uiPriority w:val="9"/>
    <w:qFormat/>
    <w:rsid w:val="004B4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612D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2D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12D10"/>
    <w:rPr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B4E6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4B4E6F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5F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5FC0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2C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6Colorida">
    <w:name w:val="List Table 6 Colorful"/>
    <w:basedOn w:val="Tabelanormal"/>
    <w:uiPriority w:val="51"/>
    <w:rsid w:val="007C1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907921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doMKak3gSGtzbINoTGV3o4jvg==">CgMxLjAyCWguMmV0OTJwMDIIaC5namRneHMyCWguMzBqMHpsbDIJaC4xZm9iOXRlMgloLjN6bnlzaDc4AHIhMWN2UENyNXJOaTJyWWJ6TEQyRzZXZ2Z0NjNxQ3V1VXhW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1006</Words>
  <Characters>6682</Characters>
  <Application>Microsoft Office Word</Application>
  <DocSecurity>0</DocSecurity>
  <Lines>436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Renata Ribeiro</dc:creator>
  <cp:lastModifiedBy>Iris Renata Ribeiro</cp:lastModifiedBy>
  <cp:revision>4</cp:revision>
  <dcterms:created xsi:type="dcterms:W3CDTF">2023-07-02T23:44:00Z</dcterms:created>
  <dcterms:modified xsi:type="dcterms:W3CDTF">2024-06-18T18:28:00Z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31d763db5fa6ea6308df75b433b13022f6f0cdca7275a7e313f4e5547a17a534</vt:lpwstr>
  </property>
</Properties>
</file>