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8B59A1" w14:textId="7AEA1C9B" w:rsidR="00541D0D" w:rsidRDefault="00A402BA" w:rsidP="00090455">
      <w:pPr>
        <w:spacing w:line="360" w:lineRule="auto"/>
        <w:ind w:left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A402B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Supporting Information</w:t>
      </w:r>
    </w:p>
    <w:p w14:paraId="02586B9C" w14:textId="77777777" w:rsidR="00A402BA" w:rsidRDefault="00A402BA" w:rsidP="00090455">
      <w:pPr>
        <w:spacing w:line="360" w:lineRule="auto"/>
        <w:ind w:left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14:paraId="6D73F85B" w14:textId="77777777" w:rsidR="00A402BA" w:rsidRPr="00DF4593" w:rsidRDefault="00A402BA" w:rsidP="00A402BA">
      <w:pPr>
        <w:spacing w:after="0" w:line="480" w:lineRule="auto"/>
        <w:contextualSpacing/>
        <w:jc w:val="center"/>
        <w:rPr>
          <w:rFonts w:ascii="Times New Roman" w:hAnsi="Times New Roman"/>
          <w:b/>
          <w:bCs/>
          <w:sz w:val="28"/>
          <w:szCs w:val="28"/>
          <w:lang w:val="en-US"/>
        </w:rPr>
      </w:pPr>
      <w:bookmarkStart w:id="0" w:name="_Hlk65510279"/>
      <w:bookmarkStart w:id="1" w:name="_Hlk65419837"/>
      <w:r w:rsidRPr="00DF4593">
        <w:rPr>
          <w:rFonts w:ascii="Times New Roman" w:hAnsi="Times New Roman"/>
          <w:b/>
          <w:bCs/>
          <w:sz w:val="28"/>
          <w:szCs w:val="28"/>
          <w:lang w:val="en-US"/>
        </w:rPr>
        <w:t>Stability and activity of platinum nanoparticles in the oxygen electroreduction reaction: is size or ordering of primary importance?</w:t>
      </w:r>
    </w:p>
    <w:bookmarkEnd w:id="0"/>
    <w:p w14:paraId="150BB844" w14:textId="77777777" w:rsidR="00A402BA" w:rsidRPr="00DF4593" w:rsidRDefault="00A402BA" w:rsidP="00A402BA">
      <w:pPr>
        <w:spacing w:after="0" w:line="480" w:lineRule="auto"/>
        <w:ind w:firstLine="567"/>
        <w:contextualSpacing/>
        <w:rPr>
          <w:rFonts w:ascii="Times New Roman" w:hAnsi="Times New Roman"/>
          <w:b/>
          <w:bCs/>
          <w:strike/>
          <w:sz w:val="24"/>
          <w:szCs w:val="24"/>
          <w:lang w:val="en-US"/>
        </w:rPr>
      </w:pPr>
    </w:p>
    <w:p w14:paraId="7DA8D042" w14:textId="116C3A5D" w:rsidR="00A402BA" w:rsidRPr="00DF4593" w:rsidRDefault="00A402BA" w:rsidP="00A402BA">
      <w:pPr>
        <w:spacing w:after="0" w:line="480" w:lineRule="auto"/>
        <w:ind w:firstLine="567"/>
        <w:contextualSpacing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DF4593">
        <w:rPr>
          <w:rFonts w:ascii="Times New Roman" w:hAnsi="Times New Roman"/>
          <w:b/>
          <w:bCs/>
          <w:sz w:val="24"/>
          <w:szCs w:val="24"/>
          <w:lang w:val="en-US"/>
        </w:rPr>
        <w:t>K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irill O. </w:t>
      </w:r>
      <w:r w:rsidRPr="00DF4593">
        <w:rPr>
          <w:rFonts w:ascii="Times New Roman" w:hAnsi="Times New Roman"/>
          <w:b/>
          <w:bCs/>
          <w:sz w:val="24"/>
          <w:szCs w:val="24"/>
          <w:lang w:val="en-US"/>
        </w:rPr>
        <w:t xml:space="preserve">Paperzh,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Anastasia A. </w:t>
      </w:r>
      <w:r w:rsidRPr="00DF4593">
        <w:rPr>
          <w:rFonts w:ascii="Times New Roman" w:hAnsi="Times New Roman"/>
          <w:b/>
          <w:bCs/>
          <w:sz w:val="24"/>
          <w:szCs w:val="24"/>
          <w:lang w:val="en-US"/>
        </w:rPr>
        <w:t xml:space="preserve">Alekseenko, </w:t>
      </w:r>
      <w:r w:rsidR="0055356A">
        <w:rPr>
          <w:rFonts w:ascii="Times New Roman" w:hAnsi="Times New Roman"/>
          <w:b/>
          <w:bCs/>
          <w:sz w:val="24"/>
          <w:szCs w:val="24"/>
          <w:lang w:val="en-US"/>
        </w:rPr>
        <w:t xml:space="preserve">Olga A. </w:t>
      </w:r>
      <w:r w:rsidR="0055356A" w:rsidRPr="00DF4593">
        <w:rPr>
          <w:rFonts w:ascii="Times New Roman" w:hAnsi="Times New Roman"/>
          <w:b/>
          <w:bCs/>
          <w:sz w:val="24"/>
          <w:szCs w:val="24"/>
          <w:lang w:val="en-US"/>
        </w:rPr>
        <w:t xml:space="preserve">Safronenko,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Vadim A. </w:t>
      </w:r>
      <w:r w:rsidRPr="00DF4593">
        <w:rPr>
          <w:rFonts w:ascii="Times New Roman" w:hAnsi="Times New Roman"/>
          <w:b/>
          <w:bCs/>
          <w:sz w:val="24"/>
          <w:szCs w:val="24"/>
          <w:lang w:val="en-US"/>
        </w:rPr>
        <w:t xml:space="preserve">Volochaev, </w:t>
      </w:r>
      <w:r w:rsidR="0055356A">
        <w:rPr>
          <w:rFonts w:ascii="Times New Roman" w:hAnsi="Times New Roman"/>
          <w:b/>
          <w:bCs/>
          <w:sz w:val="24"/>
          <w:szCs w:val="24"/>
          <w:lang w:val="en-US"/>
        </w:rPr>
        <w:t xml:space="preserve">Ilia Pankov,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Vladimir E. </w:t>
      </w:r>
      <w:r w:rsidRPr="00DF4593">
        <w:rPr>
          <w:rFonts w:ascii="Times New Roman" w:hAnsi="Times New Roman"/>
          <w:b/>
          <w:bCs/>
          <w:sz w:val="24"/>
          <w:szCs w:val="24"/>
          <w:lang w:val="en-US"/>
        </w:rPr>
        <w:t>Guterman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*</w:t>
      </w:r>
    </w:p>
    <w:p w14:paraId="504A5FB9" w14:textId="77777777" w:rsidR="00A402BA" w:rsidRDefault="00A402BA" w:rsidP="00A402BA">
      <w:pPr>
        <w:spacing w:after="0" w:line="480" w:lineRule="auto"/>
        <w:ind w:firstLine="567"/>
        <w:jc w:val="both"/>
        <w:rPr>
          <w:rFonts w:ascii="Times New Roman" w:hAnsi="Times New Roman"/>
          <w:sz w:val="24"/>
          <w:szCs w:val="24"/>
          <w:shd w:val="clear" w:color="auto" w:fill="FFFFFF"/>
          <w:lang w:val="en-US"/>
        </w:rPr>
      </w:pPr>
      <w:r w:rsidRPr="00DF4593">
        <w:rPr>
          <w:rFonts w:ascii="Times New Roman" w:eastAsia="Times New Roman" w:hAnsi="Times New Roman"/>
          <w:sz w:val="24"/>
          <w:szCs w:val="24"/>
          <w:lang w:val="en-US"/>
        </w:rPr>
        <w:t>Faculty of Chemistry</w:t>
      </w:r>
      <w:r>
        <w:rPr>
          <w:rFonts w:ascii="Times New Roman" w:eastAsia="Times New Roman" w:hAnsi="Times New Roman"/>
          <w:sz w:val="24"/>
          <w:szCs w:val="24"/>
          <w:lang w:val="en-US"/>
        </w:rPr>
        <w:t>,</w:t>
      </w:r>
      <w:r w:rsidRPr="00DF4593">
        <w:rPr>
          <w:rFonts w:ascii="Times New Roman" w:eastAsia="Times New Roman" w:hAnsi="Times New Roman"/>
          <w:sz w:val="24"/>
          <w:szCs w:val="24"/>
          <w:lang w:val="en-US"/>
        </w:rPr>
        <w:t xml:space="preserve"> Southern Federal University, str. Zorge 7, Rostov-on-Don</w:t>
      </w:r>
      <w:r>
        <w:rPr>
          <w:rFonts w:ascii="Times New Roman" w:eastAsia="Times New Roman" w:hAnsi="Times New Roman"/>
          <w:sz w:val="24"/>
          <w:szCs w:val="24"/>
          <w:lang w:val="en-US"/>
        </w:rPr>
        <w:t>,</w:t>
      </w:r>
      <w:r w:rsidRPr="00DF4593">
        <w:rPr>
          <w:rFonts w:ascii="Times New Roman" w:eastAsia="Times New Roman" w:hAnsi="Times New Roman"/>
          <w:sz w:val="24"/>
          <w:szCs w:val="24"/>
          <w:lang w:val="en-US"/>
        </w:rPr>
        <w:t xml:space="preserve"> 344090, Russia</w:t>
      </w:r>
    </w:p>
    <w:p w14:paraId="50471DD7" w14:textId="77777777" w:rsidR="00A402BA" w:rsidRPr="006A435B" w:rsidRDefault="00A402BA" w:rsidP="00A402BA">
      <w:pPr>
        <w:spacing w:after="0" w:line="480" w:lineRule="auto"/>
        <w:ind w:firstLine="567"/>
        <w:jc w:val="both"/>
        <w:rPr>
          <w:rFonts w:ascii="Times New Roman" w:hAnsi="Times New Roman"/>
          <w:sz w:val="24"/>
          <w:szCs w:val="24"/>
          <w:shd w:val="clear" w:color="auto" w:fill="FFFFFF"/>
          <w:lang w:val="en-US"/>
        </w:rPr>
      </w:pPr>
      <w:r w:rsidRPr="006A435B">
        <w:rPr>
          <w:rFonts w:ascii="Times New Roman" w:hAnsi="Times New Roman"/>
          <w:sz w:val="24"/>
          <w:szCs w:val="24"/>
          <w:lang w:val="en-US"/>
        </w:rPr>
        <w:t xml:space="preserve">Vladimir E. Guterman - </w:t>
      </w:r>
      <w:hyperlink r:id="rId7" w:history="1">
        <w:r w:rsidRPr="006A435B">
          <w:rPr>
            <w:rStyle w:val="a5"/>
            <w:rFonts w:ascii="Times New Roman" w:hAnsi="Times New Roman"/>
            <w:sz w:val="24"/>
            <w:szCs w:val="24"/>
            <w:lang w:val="en-US"/>
          </w:rPr>
          <w:t>gut57@mail.ru</w:t>
        </w:r>
      </w:hyperlink>
      <w:r w:rsidRPr="006A435B">
        <w:rPr>
          <w:rFonts w:ascii="Times New Roman" w:hAnsi="Times New Roman"/>
          <w:sz w:val="24"/>
          <w:szCs w:val="24"/>
          <w:lang w:val="en-US"/>
        </w:rPr>
        <w:t xml:space="preserve">, </w:t>
      </w:r>
      <w:hyperlink r:id="rId8" w:history="1">
        <w:r w:rsidRPr="006A435B">
          <w:rPr>
            <w:rStyle w:val="a5"/>
            <w:rFonts w:ascii="Times New Roman" w:hAnsi="Times New Roman"/>
            <w:sz w:val="24"/>
            <w:szCs w:val="24"/>
            <w:lang w:val="en-US"/>
          </w:rPr>
          <w:t>guter@sfedu.ru</w:t>
        </w:r>
      </w:hyperlink>
    </w:p>
    <w:bookmarkEnd w:id="1"/>
    <w:p w14:paraId="65407E7C" w14:textId="77777777" w:rsidR="00844DFC" w:rsidRPr="005A7159" w:rsidRDefault="00844DFC" w:rsidP="00090455">
      <w:pPr>
        <w:spacing w:line="360" w:lineRule="auto"/>
        <w:ind w:left="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14:paraId="3101F7E4" w14:textId="77777777" w:rsidR="005A7159" w:rsidRPr="005A7159" w:rsidRDefault="005A7159" w:rsidP="00090455">
      <w:pPr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</w:pPr>
      <w:r w:rsidRPr="005A7159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>X-ray study:</w:t>
      </w:r>
    </w:p>
    <w:p w14:paraId="338FA0A6" w14:textId="3120B7FF" w:rsidR="005A7159" w:rsidRPr="00B64A90" w:rsidRDefault="005A7159" w:rsidP="00090455">
      <w:pPr>
        <w:pStyle w:val="a7"/>
        <w:widowControl/>
        <w:numPr>
          <w:ilvl w:val="0"/>
          <w:numId w:val="1"/>
        </w:numPr>
        <w:autoSpaceDE/>
        <w:autoSpaceDN/>
        <w:adjustRightInd/>
        <w:spacing w:line="360" w:lineRule="auto"/>
        <w:ind w:left="0" w:firstLine="567"/>
        <w:jc w:val="both"/>
        <w:rPr>
          <w:lang w:val="en-US"/>
        </w:rPr>
      </w:pPr>
      <w:r w:rsidRPr="005A7159">
        <w:rPr>
          <w:iCs/>
          <w:lang w:val="en-US"/>
        </w:rPr>
        <w:t>The average platinum crystallite size D</w:t>
      </w:r>
      <w:r w:rsidRPr="005A7159">
        <w:rPr>
          <w:iCs/>
          <w:vertAlign w:val="subscript"/>
          <w:lang w:val="en-US"/>
        </w:rPr>
        <w:t>Av</w:t>
      </w:r>
      <w:r w:rsidRPr="005A7159">
        <w:rPr>
          <w:iCs/>
          <w:lang w:val="en-US"/>
        </w:rPr>
        <w:t xml:space="preserve"> was calculated using the Scherrer equation [</w:t>
      </w:r>
      <w:r w:rsidR="00B64A90" w:rsidRPr="00B64A90">
        <w:rPr>
          <w:i/>
          <w:iCs/>
          <w:lang w:val="en-US"/>
        </w:rPr>
        <w:t>Langford JI (1978) Scherrer after sixty years: A survey and some new results in the determination of crystallite size. J Appl Crystallogr 11:102–113. doi: 10.1107/S0021889878012844</w:t>
      </w:r>
      <w:r w:rsidR="00B64A90">
        <w:rPr>
          <w:lang w:val="en-US"/>
        </w:rPr>
        <w:t>]</w:t>
      </w:r>
    </w:p>
    <w:p w14:paraId="2812CA56" w14:textId="77777777" w:rsidR="005A7159" w:rsidRPr="005A7159" w:rsidRDefault="005A7159" w:rsidP="00090455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en-US"/>
        </w:rPr>
      </w:pPr>
      <w:r w:rsidRPr="005A7159">
        <w:rPr>
          <w:rFonts w:ascii="Times New Roman" w:hAnsi="Times New Roman" w:cs="Times New Roman"/>
          <w:iCs/>
          <w:sz w:val="24"/>
          <w:szCs w:val="24"/>
          <w:lang w:val="en-US"/>
        </w:rPr>
        <w:t>D</w:t>
      </w:r>
      <w:r w:rsidRPr="005A7159">
        <w:rPr>
          <w:rFonts w:ascii="Times New Roman" w:hAnsi="Times New Roman" w:cs="Times New Roman"/>
          <w:iCs/>
          <w:sz w:val="24"/>
          <w:szCs w:val="24"/>
          <w:vertAlign w:val="subscript"/>
          <w:lang w:val="en-US"/>
        </w:rPr>
        <w:t>Av</w:t>
      </w:r>
      <w:r w:rsidRPr="005A715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= K</w:t>
      </w:r>
      <w:r w:rsidRPr="005A7159">
        <w:rPr>
          <w:rFonts w:ascii="Times New Roman" w:hAnsi="Times New Roman" w:cs="Times New Roman"/>
          <w:iCs/>
          <w:sz w:val="24"/>
          <w:szCs w:val="24"/>
        </w:rPr>
        <w:t>λ</w:t>
      </w:r>
      <w:r w:rsidRPr="005A7159">
        <w:rPr>
          <w:rFonts w:ascii="Times New Roman" w:hAnsi="Times New Roman" w:cs="Times New Roman"/>
          <w:iCs/>
          <w:sz w:val="24"/>
          <w:szCs w:val="24"/>
          <w:lang w:val="en-US"/>
        </w:rPr>
        <w:t>/(FWHM cos</w:t>
      </w:r>
      <w:r w:rsidRPr="005A7159">
        <w:rPr>
          <w:rFonts w:ascii="Times New Roman" w:hAnsi="Times New Roman" w:cs="Times New Roman"/>
          <w:iCs/>
          <w:sz w:val="24"/>
          <w:szCs w:val="24"/>
        </w:rPr>
        <w:t>θ</w:t>
      </w:r>
      <w:r w:rsidRPr="005A7159">
        <w:rPr>
          <w:rFonts w:ascii="Times New Roman" w:hAnsi="Times New Roman" w:cs="Times New Roman"/>
          <w:iCs/>
          <w:sz w:val="24"/>
          <w:szCs w:val="24"/>
          <w:lang w:val="en-US"/>
        </w:rPr>
        <w:t>)              (1)</w:t>
      </w:r>
    </w:p>
    <w:p w14:paraId="73E90A66" w14:textId="77777777" w:rsidR="005A7159" w:rsidRPr="005A7159" w:rsidRDefault="005A7159" w:rsidP="00090455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en-US"/>
        </w:rPr>
      </w:pPr>
      <w:r w:rsidRPr="005A715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where </w:t>
      </w:r>
      <w:r w:rsidRPr="005A7159">
        <w:rPr>
          <w:rFonts w:ascii="Times New Roman" w:hAnsi="Times New Roman" w:cs="Times New Roman"/>
          <w:iCs/>
          <w:sz w:val="24"/>
          <w:szCs w:val="24"/>
        </w:rPr>
        <w:t>λ</w:t>
      </w:r>
      <w:r w:rsidRPr="005A715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is the wavelength of monochromatic radiation (in Å),</w:t>
      </w:r>
    </w:p>
    <w:p w14:paraId="4E40DDFF" w14:textId="77777777" w:rsidR="005A7159" w:rsidRPr="005A7159" w:rsidRDefault="005A7159" w:rsidP="00090455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en-US"/>
        </w:rPr>
      </w:pPr>
      <w:r w:rsidRPr="005A7159">
        <w:rPr>
          <w:rFonts w:ascii="Times New Roman" w:hAnsi="Times New Roman" w:cs="Times New Roman"/>
          <w:iCs/>
          <w:sz w:val="24"/>
          <w:szCs w:val="24"/>
          <w:lang w:val="en-US"/>
        </w:rPr>
        <w:t>FWHM - reflex half-width at half maximum (in radians),</w:t>
      </w:r>
    </w:p>
    <w:p w14:paraId="29914BB1" w14:textId="77777777" w:rsidR="005A7159" w:rsidRPr="005A7159" w:rsidRDefault="005A7159" w:rsidP="00090455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en-US"/>
        </w:rPr>
      </w:pPr>
      <w:r w:rsidRPr="005A7159">
        <w:rPr>
          <w:rFonts w:ascii="Times New Roman" w:hAnsi="Times New Roman" w:cs="Times New Roman"/>
          <w:iCs/>
          <w:sz w:val="24"/>
          <w:szCs w:val="24"/>
          <w:lang w:val="en-US"/>
        </w:rPr>
        <w:t>K = 0.89 - Scherrer's constant,</w:t>
      </w:r>
    </w:p>
    <w:p w14:paraId="461186CA" w14:textId="77777777" w:rsidR="005A7159" w:rsidRPr="005A7159" w:rsidRDefault="005A7159" w:rsidP="00090455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en-US"/>
        </w:rPr>
      </w:pPr>
      <w:r w:rsidRPr="005A7159">
        <w:rPr>
          <w:rFonts w:ascii="Times New Roman" w:hAnsi="Times New Roman" w:cs="Times New Roman"/>
          <w:iCs/>
          <w:sz w:val="24"/>
          <w:szCs w:val="24"/>
          <w:lang w:val="en-US"/>
        </w:rPr>
        <w:t>D</w:t>
      </w:r>
      <w:r w:rsidRPr="005A7159">
        <w:rPr>
          <w:rFonts w:ascii="Times New Roman" w:hAnsi="Times New Roman" w:cs="Times New Roman"/>
          <w:iCs/>
          <w:sz w:val="24"/>
          <w:szCs w:val="24"/>
          <w:vertAlign w:val="subscript"/>
          <w:lang w:val="en-US"/>
        </w:rPr>
        <w:t>Av</w:t>
      </w:r>
      <w:r w:rsidRPr="005A715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is the average thickness of the "stack" of reflecting planes in the coherent scattering region, (Å)</w:t>
      </w:r>
    </w:p>
    <w:p w14:paraId="296CC3C8" w14:textId="77777777" w:rsidR="005A7159" w:rsidRPr="005A7159" w:rsidRDefault="005A7159" w:rsidP="00090455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en-US"/>
        </w:rPr>
      </w:pPr>
      <w:r w:rsidRPr="005A7159">
        <w:rPr>
          <w:rFonts w:ascii="Times New Roman" w:hAnsi="Times New Roman" w:cs="Times New Roman"/>
          <w:iCs/>
          <w:sz w:val="24"/>
          <w:szCs w:val="24"/>
        </w:rPr>
        <w:t>θ</w:t>
      </w:r>
      <w:r w:rsidRPr="005A715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is the angle of incidence of the X-ray beam (in radians).</w:t>
      </w:r>
    </w:p>
    <w:p w14:paraId="4C9FA5AC" w14:textId="77777777" w:rsidR="005A7159" w:rsidRPr="005A7159" w:rsidRDefault="005A7159" w:rsidP="00090455">
      <w:pPr>
        <w:spacing w:after="0" w:line="36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  <w:lang w:val="en-US"/>
        </w:rPr>
      </w:pPr>
      <w:r w:rsidRPr="005A7159">
        <w:rPr>
          <w:rFonts w:ascii="Times New Roman" w:hAnsi="Times New Roman" w:cs="Times New Roman"/>
          <w:iCs/>
          <w:sz w:val="24"/>
          <w:szCs w:val="24"/>
          <w:lang w:val="en-US"/>
        </w:rPr>
        <w:t>An example of processing the X-ray diffraction pattern of a Pt/C catalyst using the SciDavis program, which makes it possible to refine the calculation of the D</w:t>
      </w:r>
      <w:r w:rsidRPr="005A7159">
        <w:rPr>
          <w:rFonts w:ascii="Times New Roman" w:hAnsi="Times New Roman" w:cs="Times New Roman"/>
          <w:iCs/>
          <w:sz w:val="24"/>
          <w:szCs w:val="24"/>
          <w:vertAlign w:val="subscript"/>
          <w:lang w:val="en-US"/>
        </w:rPr>
        <w:t>Av</w:t>
      </w:r>
      <w:r w:rsidRPr="005A715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, is shown in Figure 1. </w:t>
      </w:r>
    </w:p>
    <w:p w14:paraId="23A3A568" w14:textId="77777777" w:rsidR="005A7159" w:rsidRPr="005A7159" w:rsidRDefault="005A7159" w:rsidP="00090455">
      <w:pPr>
        <w:spacing w:after="0" w:line="360" w:lineRule="auto"/>
        <w:ind w:firstLine="567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5A7159">
        <w:rPr>
          <w:noProof/>
        </w:rPr>
        <w:drawing>
          <wp:inline distT="0" distB="0" distL="0" distR="0" wp14:anchorId="7C35CFC9" wp14:editId="37715D16">
            <wp:extent cx="3027680" cy="1647825"/>
            <wp:effectExtent l="0" t="0" r="1270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68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0D4C2A" w14:textId="37C30B67" w:rsidR="005A7159" w:rsidRPr="005A7159" w:rsidRDefault="005A7159" w:rsidP="00090455">
      <w:pPr>
        <w:spacing w:after="0" w:line="360" w:lineRule="auto"/>
        <w:jc w:val="center"/>
        <w:rPr>
          <w:rFonts w:ascii="Times New Roman" w:hAnsi="Times New Roman" w:cs="Times New Roman"/>
          <w:iCs/>
          <w:sz w:val="24"/>
          <w:szCs w:val="24"/>
          <w:lang w:val="en-US"/>
        </w:rPr>
      </w:pPr>
      <w:r w:rsidRPr="005A7159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>Fig</w:t>
      </w:r>
      <w:r w:rsidR="00541D0D" w:rsidRPr="00541D0D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>.</w:t>
      </w:r>
      <w:r w:rsidRPr="005A7159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 xml:space="preserve"> S1</w:t>
      </w:r>
      <w:r w:rsidR="00541D0D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r w:rsidRPr="005A7159">
        <w:rPr>
          <w:rFonts w:ascii="Times New Roman" w:hAnsi="Times New Roman" w:cs="Times New Roman"/>
          <w:iCs/>
          <w:sz w:val="24"/>
          <w:szCs w:val="24"/>
          <w:lang w:val="en-US"/>
        </w:rPr>
        <w:t>An example of X-ray diffractogram fitting using SciDavis software.</w:t>
      </w:r>
    </w:p>
    <w:p w14:paraId="112FC8BE" w14:textId="77777777" w:rsidR="005A7159" w:rsidRPr="005A7159" w:rsidRDefault="005A7159" w:rsidP="00090455">
      <w:pPr>
        <w:spacing w:line="360" w:lineRule="auto"/>
        <w:jc w:val="both"/>
        <w:rPr>
          <w:b/>
          <w:bCs/>
          <w:lang w:val="en-US"/>
        </w:rPr>
      </w:pPr>
    </w:p>
    <w:p w14:paraId="7134E08F" w14:textId="7055B46E" w:rsidR="005A7159" w:rsidRPr="005A7159" w:rsidRDefault="005A7159" w:rsidP="00090455">
      <w:pPr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val="en-US"/>
        </w:rPr>
      </w:pPr>
      <w:r w:rsidRPr="005A7159">
        <w:rPr>
          <w:rFonts w:ascii="Times New Roman" w:eastAsia="Calibri" w:hAnsi="Times New Roman" w:cs="Times New Roman"/>
          <w:b/>
          <w:bCs/>
          <w:iCs/>
          <w:sz w:val="24"/>
          <w:szCs w:val="24"/>
          <w:lang w:val="en-US"/>
        </w:rPr>
        <w:t>Determination of the electrochemically active surface area of catalysts by cyclic voltammetry</w:t>
      </w:r>
    </w:p>
    <w:p w14:paraId="1497CF5A" w14:textId="77777777" w:rsidR="005A7159" w:rsidRPr="005A7159" w:rsidRDefault="005A7159" w:rsidP="00090455">
      <w:pPr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5A7159">
        <w:rPr>
          <w:rFonts w:ascii="Times New Roman" w:eastAsia="Calibri" w:hAnsi="Times New Roman" w:cs="Times New Roman"/>
          <w:sz w:val="24"/>
          <w:szCs w:val="24"/>
          <w:lang w:val="en-US"/>
        </w:rPr>
        <w:lastRenderedPageBreak/>
        <w:t>The electrochemically active surface area (ESA) was calculated from the charge amount consumed for desorption Q</w:t>
      </w:r>
      <w:r w:rsidRPr="005A7159">
        <w:rPr>
          <w:rFonts w:ascii="Times New Roman" w:eastAsia="Calibri" w:hAnsi="Times New Roman" w:cs="Times New Roman"/>
          <w:sz w:val="24"/>
          <w:szCs w:val="24"/>
          <w:vertAlign w:val="subscript"/>
          <w:lang w:val="en-US"/>
        </w:rPr>
        <w:t>d</w:t>
      </w:r>
      <w:r w:rsidRPr="005A715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and adsorption Q</w:t>
      </w:r>
      <w:r w:rsidRPr="005A7159">
        <w:rPr>
          <w:rFonts w:ascii="Times New Roman" w:eastAsia="Calibri" w:hAnsi="Times New Roman" w:cs="Times New Roman"/>
          <w:sz w:val="24"/>
          <w:szCs w:val="24"/>
          <w:vertAlign w:val="subscript"/>
          <w:lang w:val="en-US"/>
        </w:rPr>
        <w:t>ad</w:t>
      </w:r>
      <w:r w:rsidRPr="005A715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of hydrogen using the formula:</w:t>
      </w:r>
    </w:p>
    <w:p w14:paraId="1EFA7DD9" w14:textId="76C4763E" w:rsidR="005A7159" w:rsidRPr="005A7159" w:rsidRDefault="005A7159" w:rsidP="00090455">
      <w:pPr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5A7159">
        <w:rPr>
          <w:rFonts w:ascii="Times New Roman" w:eastAsia="Calibri" w:hAnsi="Times New Roman" w:cs="Times New Roman"/>
          <w:sz w:val="24"/>
          <w:szCs w:val="24"/>
          <w:lang w:val="en-US"/>
        </w:rPr>
        <w:t>ESA = ((Q</w:t>
      </w:r>
      <w:r w:rsidRPr="005A7159">
        <w:rPr>
          <w:rFonts w:ascii="Times New Roman" w:eastAsia="Calibri" w:hAnsi="Times New Roman" w:cs="Times New Roman"/>
          <w:sz w:val="24"/>
          <w:szCs w:val="24"/>
          <w:vertAlign w:val="subscript"/>
          <w:lang w:val="en-US"/>
        </w:rPr>
        <w:t>d</w:t>
      </w:r>
      <w:r w:rsidRPr="005A715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+ Q</w:t>
      </w:r>
      <w:r w:rsidRPr="005A7159">
        <w:rPr>
          <w:rFonts w:ascii="Times New Roman" w:eastAsia="Calibri" w:hAnsi="Times New Roman" w:cs="Times New Roman"/>
          <w:sz w:val="24"/>
          <w:szCs w:val="24"/>
          <w:vertAlign w:val="subscript"/>
          <w:lang w:val="en-US"/>
        </w:rPr>
        <w:t>ad</w:t>
      </w:r>
      <w:r w:rsidRPr="005A7159">
        <w:rPr>
          <w:rFonts w:ascii="Times New Roman" w:eastAsia="Calibri" w:hAnsi="Times New Roman" w:cs="Times New Roman"/>
          <w:sz w:val="24"/>
          <w:szCs w:val="24"/>
          <w:lang w:val="en-US"/>
        </w:rPr>
        <w:t>) * 0.5)/(210 * m(Pt) * 1000)</w:t>
      </w:r>
      <w:r w:rsidR="00541D0D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541D0D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541D0D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Pr="005A7159">
        <w:rPr>
          <w:rFonts w:ascii="Times New Roman" w:eastAsia="Calibri" w:hAnsi="Times New Roman" w:cs="Times New Roman"/>
          <w:sz w:val="24"/>
          <w:szCs w:val="24"/>
          <w:lang w:val="en-US"/>
        </w:rPr>
        <w:t>(2)</w:t>
      </w:r>
      <w:r w:rsidR="00541D0D">
        <w:rPr>
          <w:rFonts w:ascii="Times New Roman" w:eastAsia="Calibri" w:hAnsi="Times New Roman" w:cs="Times New Roman"/>
          <w:sz w:val="24"/>
          <w:szCs w:val="24"/>
          <w:lang w:val="en-US"/>
        </w:rPr>
        <w:t>,</w:t>
      </w:r>
    </w:p>
    <w:p w14:paraId="0ABAB29F" w14:textId="1C07CB2F" w:rsidR="005A7159" w:rsidRPr="005A7159" w:rsidRDefault="005A7159" w:rsidP="00090455">
      <w:pPr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5A7159">
        <w:rPr>
          <w:rFonts w:ascii="Times New Roman" w:eastAsia="Calibri" w:hAnsi="Times New Roman" w:cs="Times New Roman"/>
          <w:sz w:val="24"/>
          <w:szCs w:val="24"/>
          <w:lang w:val="en-US"/>
        </w:rPr>
        <w:t>where ESA is the area of electrochemically active platinum surface​​ (m</w:t>
      </w:r>
      <w:r w:rsidRPr="005A7159">
        <w:rPr>
          <w:rFonts w:ascii="Times New Roman" w:eastAsia="Calibri" w:hAnsi="Times New Roman" w:cs="Times New Roman"/>
          <w:sz w:val="24"/>
          <w:szCs w:val="24"/>
          <w:vertAlign w:val="superscript"/>
          <w:lang w:val="en-US"/>
        </w:rPr>
        <w:t>2</w:t>
      </w:r>
      <w:r w:rsidR="00541D0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5A7159">
        <w:rPr>
          <w:rFonts w:ascii="Times New Roman" w:eastAsia="Calibri" w:hAnsi="Times New Roman" w:cs="Times New Roman"/>
          <w:sz w:val="24"/>
          <w:szCs w:val="24"/>
          <w:lang w:val="en-US"/>
        </w:rPr>
        <w:t>g</w:t>
      </w:r>
      <w:r w:rsidR="00541D0D" w:rsidRPr="00541D0D">
        <w:rPr>
          <w:rFonts w:ascii="Times New Roman" w:eastAsia="Calibri" w:hAnsi="Times New Roman" w:cs="Times New Roman"/>
          <w:sz w:val="24"/>
          <w:szCs w:val="24"/>
          <w:vertAlign w:val="superscript"/>
          <w:lang w:val="en-US"/>
        </w:rPr>
        <w:t>-1</w:t>
      </w:r>
      <w:r w:rsidRPr="005A7159">
        <w:rPr>
          <w:rFonts w:ascii="Times New Roman" w:eastAsia="Calibri" w:hAnsi="Times New Roman" w:cs="Times New Roman"/>
          <w:sz w:val="24"/>
          <w:szCs w:val="24"/>
          <w:lang w:val="en-US"/>
        </w:rPr>
        <w:t>(Pt)),</w:t>
      </w:r>
    </w:p>
    <w:p w14:paraId="3763277F" w14:textId="75FC7C87" w:rsidR="005A7159" w:rsidRPr="005A7159" w:rsidRDefault="005A7159" w:rsidP="00090455">
      <w:pPr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5A7159">
        <w:rPr>
          <w:rFonts w:ascii="Times New Roman" w:eastAsia="Calibri" w:hAnsi="Times New Roman" w:cs="Times New Roman"/>
          <w:sz w:val="24"/>
          <w:szCs w:val="24"/>
          <w:lang w:val="en-US"/>
        </w:rPr>
        <w:t>Q</w:t>
      </w:r>
      <w:r w:rsidRPr="005A7159">
        <w:rPr>
          <w:rFonts w:ascii="Times New Roman" w:eastAsia="Calibri" w:hAnsi="Times New Roman" w:cs="Times New Roman"/>
          <w:sz w:val="24"/>
          <w:szCs w:val="24"/>
          <w:vertAlign w:val="subscript"/>
          <w:lang w:val="en-US"/>
        </w:rPr>
        <w:t>d</w:t>
      </w:r>
      <w:r w:rsidRPr="005A715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and Q</w:t>
      </w:r>
      <w:r w:rsidRPr="005A7159">
        <w:rPr>
          <w:rFonts w:ascii="Times New Roman" w:eastAsia="Calibri" w:hAnsi="Times New Roman" w:cs="Times New Roman"/>
          <w:sz w:val="24"/>
          <w:szCs w:val="24"/>
          <w:vertAlign w:val="subscript"/>
          <w:lang w:val="en-US"/>
        </w:rPr>
        <w:t>ad</w:t>
      </w:r>
      <w:r w:rsidRPr="005A715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- the charge amount consumed for electrochemical desorption and adsorption of atomic hydrogen, respectively (</w:t>
      </w:r>
      <w:r w:rsidRPr="005A7159">
        <w:rPr>
          <w:rFonts w:ascii="Times New Roman" w:eastAsia="Calibri" w:hAnsi="Times New Roman" w:cs="Times New Roman"/>
          <w:sz w:val="24"/>
          <w:szCs w:val="24"/>
        </w:rPr>
        <w:t>μ</w:t>
      </w:r>
      <w:r w:rsidRPr="005A7159">
        <w:rPr>
          <w:rFonts w:ascii="Times New Roman" w:eastAsia="Calibri" w:hAnsi="Times New Roman" w:cs="Times New Roman"/>
          <w:sz w:val="24"/>
          <w:szCs w:val="24"/>
          <w:lang w:val="en-US"/>
        </w:rPr>
        <w:t>C)</w:t>
      </w:r>
      <w:r w:rsidR="00090455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="00090455" w:rsidRPr="00090455">
        <w:rPr>
          <w:rFonts w:ascii="Times New Roman" w:eastAsia="Calibri" w:hAnsi="Times New Roman" w:cs="Times New Roman"/>
          <w:sz w:val="24"/>
          <w:szCs w:val="24"/>
          <w:lang w:val="en-US"/>
        </w:rPr>
        <w:t>(</w:t>
      </w:r>
      <w:r w:rsidR="00090455" w:rsidRPr="005A7159">
        <w:rPr>
          <w:rFonts w:ascii="Times New Roman" w:eastAsia="Calibri" w:hAnsi="Times New Roman" w:cs="Times New Roman"/>
          <w:iCs/>
          <w:sz w:val="24"/>
          <w:szCs w:val="24"/>
          <w:lang w:val="en-US"/>
        </w:rPr>
        <w:t>Fig. S2</w:t>
      </w:r>
      <w:r w:rsidR="00090455" w:rsidRPr="00090455">
        <w:rPr>
          <w:rFonts w:ascii="Times New Roman" w:eastAsia="Calibri" w:hAnsi="Times New Roman" w:cs="Times New Roman"/>
          <w:iCs/>
          <w:sz w:val="24"/>
          <w:szCs w:val="24"/>
          <w:lang w:val="en-US"/>
        </w:rPr>
        <w:t>)</w:t>
      </w:r>
      <w:r w:rsidRPr="005A7159">
        <w:rPr>
          <w:rFonts w:ascii="Times New Roman" w:eastAsia="Calibri" w:hAnsi="Times New Roman" w:cs="Times New Roman"/>
          <w:sz w:val="24"/>
          <w:szCs w:val="24"/>
          <w:lang w:val="en-US"/>
        </w:rPr>
        <w:t>,</w:t>
      </w:r>
    </w:p>
    <w:p w14:paraId="71EF13A4" w14:textId="136A21A3" w:rsidR="005A7159" w:rsidRPr="005A7159" w:rsidRDefault="005A7159" w:rsidP="00090455">
      <w:pPr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5A715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210 - the charge required for the formation/oxidation of atomic hydrogen monolayer per 1 cm</w:t>
      </w:r>
      <w:r w:rsidRPr="005A7159">
        <w:rPr>
          <w:rFonts w:ascii="Times New Roman" w:eastAsia="Calibri" w:hAnsi="Times New Roman" w:cs="Times New Roman"/>
          <w:sz w:val="24"/>
          <w:szCs w:val="24"/>
          <w:vertAlign w:val="superscript"/>
          <w:lang w:val="en-US"/>
        </w:rPr>
        <w:t>2</w:t>
      </w:r>
      <w:r w:rsidRPr="005A715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of platinum surface (</w:t>
      </w:r>
      <w:r w:rsidRPr="005A7159">
        <w:rPr>
          <w:rFonts w:ascii="Times New Roman" w:eastAsia="Calibri" w:hAnsi="Times New Roman" w:cs="Times New Roman"/>
          <w:sz w:val="24"/>
          <w:szCs w:val="24"/>
        </w:rPr>
        <w:t>μ</w:t>
      </w:r>
      <w:r w:rsidRPr="005A7159">
        <w:rPr>
          <w:rFonts w:ascii="Times New Roman" w:eastAsia="Calibri" w:hAnsi="Times New Roman" w:cs="Times New Roman"/>
          <w:sz w:val="24"/>
          <w:szCs w:val="24"/>
          <w:lang w:val="en-US"/>
        </w:rPr>
        <w:t>C</w:t>
      </w:r>
      <w:r w:rsidR="00541D0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5A7159">
        <w:rPr>
          <w:rFonts w:ascii="Times New Roman" w:eastAsia="Calibri" w:hAnsi="Times New Roman" w:cs="Times New Roman"/>
          <w:sz w:val="24"/>
          <w:szCs w:val="24"/>
          <w:lang w:val="en-US"/>
        </w:rPr>
        <w:t>cm</w:t>
      </w:r>
      <w:r w:rsidR="00541D0D" w:rsidRPr="00541D0D">
        <w:rPr>
          <w:rFonts w:ascii="Times New Roman" w:eastAsia="Calibri" w:hAnsi="Times New Roman" w:cs="Times New Roman"/>
          <w:sz w:val="24"/>
          <w:szCs w:val="24"/>
          <w:vertAlign w:val="superscript"/>
          <w:lang w:val="en-US"/>
        </w:rPr>
        <w:t>-</w:t>
      </w:r>
      <w:r w:rsidRPr="005A7159">
        <w:rPr>
          <w:rFonts w:ascii="Times New Roman" w:eastAsia="Calibri" w:hAnsi="Times New Roman" w:cs="Times New Roman"/>
          <w:sz w:val="24"/>
          <w:szCs w:val="24"/>
          <w:vertAlign w:val="superscript"/>
          <w:lang w:val="en-US"/>
        </w:rPr>
        <w:t>2</w:t>
      </w:r>
      <w:r w:rsidRPr="005A7159">
        <w:rPr>
          <w:rFonts w:ascii="Times New Roman" w:eastAsia="Calibri" w:hAnsi="Times New Roman" w:cs="Times New Roman"/>
          <w:sz w:val="24"/>
          <w:szCs w:val="24"/>
          <w:lang w:val="en-US"/>
        </w:rPr>
        <w:t>),</w:t>
      </w:r>
    </w:p>
    <w:p w14:paraId="7BD178FB" w14:textId="77777777" w:rsidR="005A7159" w:rsidRPr="005A7159" w:rsidRDefault="005A7159" w:rsidP="00090455">
      <w:pPr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5A7159">
        <w:rPr>
          <w:rFonts w:ascii="Times New Roman" w:eastAsia="Calibri" w:hAnsi="Times New Roman" w:cs="Times New Roman"/>
          <w:sz w:val="24"/>
          <w:szCs w:val="24"/>
          <w:lang w:val="en-US"/>
        </w:rPr>
        <w:t>m(Pt) - platinum weight on the electrode (g).</w:t>
      </w:r>
    </w:p>
    <w:p w14:paraId="2E1B1F82" w14:textId="77777777" w:rsidR="005A7159" w:rsidRPr="005A7159" w:rsidRDefault="005A7159" w:rsidP="00090455">
      <w:pPr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5A715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The charge amount was determined from the cyclic voltammogram (CV) as the area under the line of the current-time dependence in potential range 0.04 - 0.40 V minus the contribution of the double-layer region. </w:t>
      </w:r>
    </w:p>
    <w:p w14:paraId="61948E79" w14:textId="77777777" w:rsidR="005A7159" w:rsidRPr="005A7159" w:rsidRDefault="005A7159" w:rsidP="00090455">
      <w:pPr>
        <w:spacing w:line="360" w:lineRule="auto"/>
        <w:jc w:val="center"/>
        <w:rPr>
          <w:rFonts w:ascii="Times New Roman" w:hAnsi="Times New Roman" w:cs="Times New Roman"/>
          <w:lang w:eastAsia="ru-RU"/>
        </w:rPr>
      </w:pPr>
      <w:r w:rsidRPr="005A7159">
        <w:rPr>
          <w:noProof/>
        </w:rPr>
        <w:drawing>
          <wp:inline distT="0" distB="0" distL="0" distR="0" wp14:anchorId="130CF3A1" wp14:editId="69FE59DE">
            <wp:extent cx="3925126" cy="264808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4325" cy="2661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2AA667" w14:textId="753FFCA6" w:rsidR="005A7159" w:rsidRPr="005A7159" w:rsidRDefault="005A7159" w:rsidP="00090455">
      <w:pPr>
        <w:spacing w:line="360" w:lineRule="auto"/>
        <w:jc w:val="center"/>
        <w:rPr>
          <w:rFonts w:ascii="Times New Roman" w:hAnsi="Times New Roman" w:cs="Times New Roman"/>
          <w:b/>
          <w:bCs/>
          <w:color w:val="C00000"/>
          <w:sz w:val="24"/>
          <w:szCs w:val="24"/>
          <w:lang w:val="en-US" w:eastAsia="ru-RU"/>
        </w:rPr>
      </w:pPr>
      <w:r w:rsidRPr="005A7159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Fig</w:t>
      </w:r>
      <w:r w:rsidR="00541D0D" w:rsidRPr="00090455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. </w:t>
      </w:r>
      <w:r w:rsidRPr="005A7159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S2</w:t>
      </w:r>
      <w:r w:rsidRPr="005A715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Current versus time during CV recording. The areas on the graph are highlighted for the calculation of the charge amount: Q</w:t>
      </w:r>
      <w:r w:rsidRPr="005A7159">
        <w:rPr>
          <w:rFonts w:ascii="Times New Roman" w:hAnsi="Times New Roman" w:cs="Times New Roman"/>
          <w:sz w:val="24"/>
          <w:szCs w:val="24"/>
          <w:vertAlign w:val="subscript"/>
          <w:lang w:val="en-US" w:eastAsia="ru-RU"/>
        </w:rPr>
        <w:t>ad</w:t>
      </w:r>
      <w:r w:rsidRPr="005A715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- the amount of electricity spent on atomic hydrogen adsorption; Q</w:t>
      </w:r>
      <w:r w:rsidRPr="005A7159">
        <w:rPr>
          <w:rFonts w:ascii="Times New Roman" w:hAnsi="Times New Roman" w:cs="Times New Roman"/>
          <w:sz w:val="24"/>
          <w:szCs w:val="24"/>
          <w:vertAlign w:val="subscript"/>
          <w:lang w:val="en-US" w:eastAsia="ru-RU"/>
        </w:rPr>
        <w:t>d</w:t>
      </w:r>
      <w:r w:rsidRPr="005A715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is the amount of electricity consumed for atomic hydrogen desorption. </w:t>
      </w:r>
    </w:p>
    <w:p w14:paraId="4E3E8D37" w14:textId="77777777" w:rsidR="005A7159" w:rsidRPr="005A7159" w:rsidRDefault="005A7159" w:rsidP="00090455">
      <w:pPr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</w:pPr>
      <w:r w:rsidRPr="005A7159"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  <w:t>Determination of catalytic activity in the ORR</w:t>
      </w:r>
    </w:p>
    <w:p w14:paraId="50BC61FA" w14:textId="77777777" w:rsidR="005A7159" w:rsidRPr="005A7159" w:rsidRDefault="005A7159" w:rsidP="00090455">
      <w:pPr>
        <w:tabs>
          <w:tab w:val="left" w:pos="709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5A7159">
        <w:rPr>
          <w:rFonts w:ascii="Times New Roman" w:eastAsia="Calibri" w:hAnsi="Times New Roman" w:cs="Times New Roman"/>
          <w:sz w:val="24"/>
          <w:szCs w:val="24"/>
          <w:lang w:val="en-US"/>
        </w:rPr>
        <w:t>To take into account the contribution of the ohmic potential drop and processes not associated with ORR, the voltammograms obtained when the potential was swept towards more positive values (Fig. S3) ​​were normalized according to generally accepted techniques, as presented below in more detail. For this, the potential of the electrode under study was refined using the formula:</w:t>
      </w:r>
    </w:p>
    <w:p w14:paraId="66079C58" w14:textId="55E06CCB" w:rsidR="005A7159" w:rsidRPr="005A7159" w:rsidRDefault="005A7159" w:rsidP="00090455">
      <w:pPr>
        <w:tabs>
          <w:tab w:val="left" w:pos="709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5A7159">
        <w:rPr>
          <w:rFonts w:ascii="Times New Roman" w:eastAsia="Calibri" w:hAnsi="Times New Roman" w:cs="Times New Roman"/>
          <w:i/>
          <w:iCs/>
          <w:sz w:val="24"/>
          <w:szCs w:val="24"/>
          <w:lang w:val="en-US"/>
        </w:rPr>
        <w:t>E = E</w:t>
      </w:r>
      <w:r w:rsidRPr="005A7159">
        <w:rPr>
          <w:rFonts w:ascii="Times New Roman" w:eastAsia="Calibri" w:hAnsi="Times New Roman" w:cs="Times New Roman"/>
          <w:i/>
          <w:iCs/>
          <w:sz w:val="24"/>
          <w:szCs w:val="24"/>
          <w:vertAlign w:val="subscript"/>
          <w:lang w:val="en-US"/>
        </w:rPr>
        <w:t>set</w:t>
      </w:r>
      <w:r w:rsidRPr="005A7159">
        <w:rPr>
          <w:rFonts w:ascii="Times New Roman" w:eastAsia="Calibri" w:hAnsi="Times New Roman" w:cs="Times New Roman"/>
          <w:i/>
          <w:iCs/>
          <w:sz w:val="24"/>
          <w:szCs w:val="24"/>
          <w:lang w:val="en-US"/>
        </w:rPr>
        <w:t xml:space="preserve"> - I * R</w:t>
      </w:r>
      <w:r w:rsidR="00541D0D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541D0D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541D0D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Pr="005A7159">
        <w:rPr>
          <w:rFonts w:ascii="Times New Roman" w:eastAsia="Calibri" w:hAnsi="Times New Roman" w:cs="Times New Roman"/>
          <w:sz w:val="24"/>
          <w:szCs w:val="24"/>
          <w:lang w:val="en-US"/>
        </w:rPr>
        <w:t>(3),</w:t>
      </w:r>
    </w:p>
    <w:p w14:paraId="4D05C4B8" w14:textId="0E7B0ED1" w:rsidR="005A7159" w:rsidRPr="005A7159" w:rsidRDefault="005A7159" w:rsidP="00B64A90">
      <w:pPr>
        <w:tabs>
          <w:tab w:val="left" w:pos="709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5A7159">
        <w:rPr>
          <w:rFonts w:ascii="Times New Roman" w:eastAsia="Calibri" w:hAnsi="Times New Roman" w:cs="Times New Roman"/>
          <w:sz w:val="24"/>
          <w:szCs w:val="24"/>
          <w:lang w:val="en-US"/>
        </w:rPr>
        <w:t>where E</w:t>
      </w:r>
      <w:r w:rsidRPr="005A7159">
        <w:rPr>
          <w:rFonts w:ascii="Times New Roman" w:eastAsia="Calibri" w:hAnsi="Times New Roman" w:cs="Times New Roman"/>
          <w:sz w:val="24"/>
          <w:szCs w:val="24"/>
          <w:vertAlign w:val="subscript"/>
          <w:lang w:val="en-US"/>
        </w:rPr>
        <w:t>set</w:t>
      </w:r>
      <w:r w:rsidRPr="005A715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is the set value of the potential, </w:t>
      </w:r>
      <w:r w:rsidRPr="005A7159">
        <w:rPr>
          <w:rFonts w:ascii="Times New Roman" w:eastAsia="Calibri" w:hAnsi="Times New Roman" w:cs="Times New Roman"/>
          <w:i/>
          <w:iCs/>
          <w:sz w:val="24"/>
          <w:szCs w:val="24"/>
          <w:lang w:val="en-US"/>
        </w:rPr>
        <w:t>I * R</w:t>
      </w:r>
      <w:r w:rsidRPr="005A715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is the ohmic potential drop equal to the product of the current (I) by the resistance (R) of the solution layer between the reference and work electrodes, which was 23 Ohm</w:t>
      </w:r>
      <w:r w:rsidR="00B64A90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[</w:t>
      </w:r>
      <w:r w:rsidR="00B64A90" w:rsidRPr="00B64A90">
        <w:rPr>
          <w:rFonts w:ascii="Times New Roman" w:eastAsia="Calibri" w:hAnsi="Times New Roman" w:cs="Times New Roman"/>
          <w:i/>
          <w:iCs/>
          <w:sz w:val="24"/>
          <w:szCs w:val="24"/>
          <w:lang w:val="en-US"/>
        </w:rPr>
        <w:t xml:space="preserve">Shinozaki K, Zack JW, Pylypenko S, Pivovar BS, Kocha SS (2015) Oxygen reduction </w:t>
      </w:r>
      <w:r w:rsidR="00B64A90" w:rsidRPr="00B64A90">
        <w:rPr>
          <w:rFonts w:ascii="Times New Roman" w:eastAsia="Calibri" w:hAnsi="Times New Roman" w:cs="Times New Roman"/>
          <w:i/>
          <w:iCs/>
          <w:sz w:val="24"/>
          <w:szCs w:val="24"/>
          <w:lang w:val="en-US"/>
        </w:rPr>
        <w:lastRenderedPageBreak/>
        <w:t>reaction measurements on platinum electrocatalysts utilizing rotating disk electrode technique: II. Influence of ink formulation, catalyst layer uniformity and thickness. J Electrochem Soc 162:F1384–F1396. doi: 10.1149/2.0551512jes</w:t>
      </w:r>
      <w:r w:rsidR="00B64A90">
        <w:rPr>
          <w:rFonts w:ascii="Times New Roman" w:eastAsia="Calibri" w:hAnsi="Times New Roman" w:cs="Times New Roman"/>
          <w:sz w:val="24"/>
          <w:szCs w:val="24"/>
          <w:lang w:val="en-US"/>
        </w:rPr>
        <w:t>]</w:t>
      </w:r>
      <w:r w:rsidRPr="005A7159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14:paraId="71589E22" w14:textId="20547FC5" w:rsidR="005A7159" w:rsidRPr="005A7159" w:rsidRDefault="005A7159" w:rsidP="00090455">
      <w:pPr>
        <w:tabs>
          <w:tab w:val="left" w:pos="709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5A715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The contribution of the processes occurring at the electrode in the deoxygenated solution (Ar atmosphere) was taken into account by subtracting from the voltammogram a similar curve recorded at the same electrode during measurements in an Ar: </w:t>
      </w:r>
      <w:r w:rsidRPr="005A7159">
        <w:rPr>
          <w:rFonts w:ascii="Times New Roman" w:eastAsia="Calibri" w:hAnsi="Times New Roman" w:cs="Times New Roman"/>
          <w:i/>
          <w:iCs/>
          <w:sz w:val="24"/>
          <w:szCs w:val="24"/>
          <w:lang w:val="en-US"/>
        </w:rPr>
        <w:t>I(O</w:t>
      </w:r>
      <w:r w:rsidRPr="005A7159">
        <w:rPr>
          <w:rFonts w:ascii="Times New Roman" w:eastAsia="Calibri" w:hAnsi="Times New Roman" w:cs="Times New Roman"/>
          <w:i/>
          <w:iCs/>
          <w:sz w:val="24"/>
          <w:szCs w:val="24"/>
          <w:vertAlign w:val="subscript"/>
          <w:lang w:val="en-US"/>
        </w:rPr>
        <w:t>2</w:t>
      </w:r>
      <w:r w:rsidRPr="005A7159">
        <w:rPr>
          <w:rFonts w:ascii="Times New Roman" w:eastAsia="Calibri" w:hAnsi="Times New Roman" w:cs="Times New Roman"/>
          <w:i/>
          <w:iCs/>
          <w:sz w:val="24"/>
          <w:szCs w:val="24"/>
          <w:lang w:val="en-US"/>
        </w:rPr>
        <w:t>) - I(Ar)</w:t>
      </w:r>
      <w:r w:rsidRPr="005A715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atmosphere. The ORR activity of catalysts (kinetic current) was determined from normalized voltammograms taking into account the contribution of mass transfer under the conditions of RDE [</w:t>
      </w:r>
      <w:r w:rsidR="00B64A90" w:rsidRPr="00B64A90">
        <w:rPr>
          <w:rFonts w:ascii="Times New Roman" w:eastAsia="Calibri" w:hAnsi="Times New Roman" w:cs="Times New Roman"/>
          <w:i/>
          <w:iCs/>
          <w:sz w:val="24"/>
          <w:szCs w:val="24"/>
          <w:lang w:val="en-US"/>
        </w:rPr>
        <w:t>Hyun K, Lee JH, Yoon CW, Kwon Y (2013) The effect of platinum based bimetallic electrocatalysts on oxygen reduction reaction of proton exchange membrane fuel cells. Int J Electrochem Sci 8:11752–11767</w:t>
      </w:r>
      <w:r w:rsidRPr="005A7159">
        <w:rPr>
          <w:rFonts w:ascii="Times New Roman" w:eastAsia="Calibri" w:hAnsi="Times New Roman" w:cs="Times New Roman"/>
          <w:sz w:val="24"/>
          <w:szCs w:val="24"/>
          <w:lang w:val="en-US"/>
        </w:rPr>
        <w:t>]. The kinetic current was calculated using the Koutetskiy – Levich equation:</w:t>
      </w:r>
    </w:p>
    <w:p w14:paraId="6FB76FA4" w14:textId="48595807" w:rsidR="005A7159" w:rsidRPr="005A7159" w:rsidRDefault="005A7159" w:rsidP="00090455">
      <w:pPr>
        <w:tabs>
          <w:tab w:val="left" w:pos="709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5A7159">
        <w:rPr>
          <w:rFonts w:ascii="Times New Roman" w:eastAsia="Calibri" w:hAnsi="Times New Roman" w:cs="Times New Roman"/>
          <w:i/>
          <w:iCs/>
          <w:sz w:val="24"/>
          <w:szCs w:val="24"/>
          <w:lang w:val="en-US"/>
        </w:rPr>
        <w:t>1/j = 1/j</w:t>
      </w:r>
      <w:r w:rsidRPr="005A7159">
        <w:rPr>
          <w:rFonts w:ascii="Times New Roman" w:eastAsia="Calibri" w:hAnsi="Times New Roman" w:cs="Times New Roman"/>
          <w:i/>
          <w:iCs/>
          <w:sz w:val="24"/>
          <w:szCs w:val="24"/>
          <w:vertAlign w:val="subscript"/>
          <w:lang w:val="en-US"/>
        </w:rPr>
        <w:t>k</w:t>
      </w:r>
      <w:r w:rsidRPr="005A7159">
        <w:rPr>
          <w:rFonts w:ascii="Times New Roman" w:eastAsia="Calibri" w:hAnsi="Times New Roman" w:cs="Times New Roman"/>
          <w:i/>
          <w:iCs/>
          <w:sz w:val="24"/>
          <w:szCs w:val="24"/>
          <w:lang w:val="en-US"/>
        </w:rPr>
        <w:t xml:space="preserve"> + 1/j</w:t>
      </w:r>
      <w:r w:rsidRPr="005A7159">
        <w:rPr>
          <w:rFonts w:ascii="Times New Roman" w:eastAsia="Calibri" w:hAnsi="Times New Roman" w:cs="Times New Roman"/>
          <w:i/>
          <w:iCs/>
          <w:sz w:val="24"/>
          <w:szCs w:val="24"/>
          <w:vertAlign w:val="subscript"/>
          <w:lang w:val="en-US"/>
        </w:rPr>
        <w:t>d</w:t>
      </w:r>
      <w:r w:rsidR="00541D0D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541D0D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541D0D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Pr="005A715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(4),</w:t>
      </w:r>
    </w:p>
    <w:p w14:paraId="6B42D8FE" w14:textId="77777777" w:rsidR="005A7159" w:rsidRPr="005A7159" w:rsidRDefault="005A7159" w:rsidP="0009045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5A7159">
        <w:rPr>
          <w:rFonts w:ascii="Times New Roman" w:hAnsi="Times New Roman" w:cs="Times New Roman"/>
          <w:sz w:val="24"/>
          <w:szCs w:val="24"/>
          <w:lang w:val="en-US"/>
        </w:rPr>
        <w:t xml:space="preserve">where </w:t>
      </w:r>
      <w:r w:rsidRPr="005A7159">
        <w:rPr>
          <w:rFonts w:ascii="Times New Roman" w:hAnsi="Times New Roman" w:cs="Times New Roman"/>
          <w:i/>
          <w:iCs/>
          <w:sz w:val="24"/>
          <w:szCs w:val="24"/>
          <w:lang w:val="en-US"/>
        </w:rPr>
        <w:t>j</w:t>
      </w:r>
      <w:r w:rsidRPr="005A7159">
        <w:rPr>
          <w:rFonts w:ascii="Times New Roman" w:hAnsi="Times New Roman" w:cs="Times New Roman"/>
          <w:sz w:val="24"/>
          <w:szCs w:val="24"/>
          <w:lang w:val="en-US"/>
        </w:rPr>
        <w:t xml:space="preserve"> is the experimentally measured current, </w:t>
      </w:r>
      <w:r w:rsidRPr="005A7159">
        <w:rPr>
          <w:rFonts w:ascii="Times New Roman" w:hAnsi="Times New Roman" w:cs="Times New Roman"/>
          <w:i/>
          <w:iCs/>
          <w:sz w:val="24"/>
          <w:szCs w:val="24"/>
          <w:lang w:val="en-US"/>
        </w:rPr>
        <w:t>j</w:t>
      </w:r>
      <w:r w:rsidRPr="005A7159">
        <w:rPr>
          <w:rFonts w:ascii="Times New Roman" w:hAnsi="Times New Roman" w:cs="Times New Roman"/>
          <w:i/>
          <w:iCs/>
          <w:sz w:val="24"/>
          <w:szCs w:val="24"/>
          <w:vertAlign w:val="subscript"/>
          <w:lang w:val="en-US"/>
        </w:rPr>
        <w:t>d</w:t>
      </w:r>
      <w:r w:rsidRPr="005A7159">
        <w:rPr>
          <w:rFonts w:ascii="Times New Roman" w:hAnsi="Times New Roman" w:cs="Times New Roman"/>
          <w:sz w:val="24"/>
          <w:szCs w:val="24"/>
          <w:lang w:val="en-US"/>
        </w:rPr>
        <w:t xml:space="preserve"> is the diffusion current, </w:t>
      </w:r>
      <w:r w:rsidRPr="005A7159">
        <w:rPr>
          <w:rFonts w:ascii="Times New Roman" w:hAnsi="Times New Roman" w:cs="Times New Roman"/>
          <w:i/>
          <w:iCs/>
          <w:sz w:val="24"/>
          <w:szCs w:val="24"/>
          <w:lang w:val="en-US"/>
        </w:rPr>
        <w:t>j</w:t>
      </w:r>
      <w:r w:rsidRPr="005A7159">
        <w:rPr>
          <w:rFonts w:ascii="Times New Roman" w:hAnsi="Times New Roman" w:cs="Times New Roman"/>
          <w:i/>
          <w:iCs/>
          <w:sz w:val="24"/>
          <w:szCs w:val="24"/>
          <w:vertAlign w:val="subscript"/>
          <w:lang w:val="en-US"/>
        </w:rPr>
        <w:t>k</w:t>
      </w:r>
      <w:r w:rsidRPr="005A7159">
        <w:rPr>
          <w:rFonts w:ascii="Times New Roman" w:hAnsi="Times New Roman" w:cs="Times New Roman"/>
          <w:sz w:val="24"/>
          <w:szCs w:val="24"/>
          <w:lang w:val="en-US"/>
        </w:rPr>
        <w:t xml:space="preserve"> is the kinetic current. The kinetic currents were calculated for a potential of 0.90 V (RHE). Dividing the kinetic current by the mass of platinum loaded onto the electrode and the ESA, we obtained such activity parameters as mass (</w:t>
      </w:r>
      <w:r w:rsidRPr="005A7159">
        <w:rPr>
          <w:rFonts w:ascii="Times New Roman" w:hAnsi="Times New Roman" w:cs="Times New Roman"/>
          <w:i/>
          <w:iCs/>
          <w:sz w:val="24"/>
          <w:szCs w:val="24"/>
          <w:lang w:val="en-US"/>
        </w:rPr>
        <w:t>I</w:t>
      </w:r>
      <w:r w:rsidRPr="005A7159">
        <w:rPr>
          <w:rFonts w:ascii="Times New Roman" w:hAnsi="Times New Roman" w:cs="Times New Roman"/>
          <w:i/>
          <w:iCs/>
          <w:sz w:val="24"/>
          <w:szCs w:val="24"/>
          <w:vertAlign w:val="subscript"/>
          <w:lang w:val="en-US"/>
        </w:rPr>
        <w:t>mass</w:t>
      </w:r>
      <w:r w:rsidRPr="005A7159">
        <w:rPr>
          <w:rFonts w:ascii="Times New Roman" w:hAnsi="Times New Roman" w:cs="Times New Roman"/>
          <w:sz w:val="24"/>
          <w:szCs w:val="24"/>
          <w:lang w:val="en-US"/>
        </w:rPr>
        <w:t>) and specific (</w:t>
      </w:r>
      <w:r w:rsidRPr="005A7159">
        <w:rPr>
          <w:rFonts w:ascii="Times New Roman" w:hAnsi="Times New Roman" w:cs="Times New Roman"/>
          <w:i/>
          <w:iCs/>
          <w:sz w:val="24"/>
          <w:szCs w:val="24"/>
          <w:lang w:val="en-US"/>
        </w:rPr>
        <w:t>I</w:t>
      </w:r>
      <w:r w:rsidRPr="005A7159">
        <w:rPr>
          <w:rFonts w:ascii="Times New Roman" w:hAnsi="Times New Roman" w:cs="Times New Roman"/>
          <w:i/>
          <w:iCs/>
          <w:sz w:val="24"/>
          <w:szCs w:val="24"/>
          <w:vertAlign w:val="subscript"/>
          <w:lang w:val="en-US"/>
        </w:rPr>
        <w:t>sp</w:t>
      </w:r>
      <w:r w:rsidRPr="005A7159">
        <w:rPr>
          <w:rFonts w:ascii="Times New Roman" w:hAnsi="Times New Roman" w:cs="Times New Roman"/>
          <w:sz w:val="24"/>
          <w:szCs w:val="24"/>
          <w:lang w:val="en-US"/>
        </w:rPr>
        <w:t>) currents, respectively. The number of electrons involved in ORR was determined by the angle of the line in coordinates 1/j - 1/</w:t>
      </w:r>
      <w:r w:rsidRPr="005A7159">
        <w:rPr>
          <w:rFonts w:ascii="Symbol" w:hAnsi="Symbol" w:cs="Times New Roman"/>
          <w:sz w:val="24"/>
          <w:szCs w:val="24"/>
          <w:lang w:val="en-US"/>
        </w:rPr>
        <w:sym w:font="Symbol" w:char="F077"/>
      </w:r>
      <w:r w:rsidRPr="005A715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0.5</w:t>
      </w:r>
      <w:r w:rsidRPr="005A715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E8B7032" w14:textId="77777777" w:rsidR="005A7159" w:rsidRPr="005A7159" w:rsidRDefault="005A7159" w:rsidP="00090455">
      <w:pPr>
        <w:spacing w:line="360" w:lineRule="auto"/>
        <w:jc w:val="center"/>
        <w:rPr>
          <w:lang w:eastAsia="ru-RU"/>
        </w:rPr>
      </w:pPr>
      <w:r w:rsidRPr="005A7159">
        <w:rPr>
          <w:noProof/>
        </w:rPr>
        <w:drawing>
          <wp:inline distT="0" distB="0" distL="0" distR="0" wp14:anchorId="42D4CC1D" wp14:editId="78A75ACF">
            <wp:extent cx="3450590" cy="272605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0590" cy="272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7B583E" w14:textId="77777777" w:rsidR="00B149E5" w:rsidRDefault="005A7159" w:rsidP="0009045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Cs/>
          <w:sz w:val="24"/>
          <w:szCs w:val="24"/>
          <w:lang w:val="en-US"/>
        </w:rPr>
      </w:pPr>
      <w:r w:rsidRPr="005A7159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>Fig</w:t>
      </w:r>
      <w:r w:rsidR="00B149E5" w:rsidRPr="00B149E5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>.</w:t>
      </w:r>
      <w:r w:rsidRPr="005A7159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 xml:space="preserve"> S3</w:t>
      </w:r>
      <w:r w:rsidRPr="005A715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Potentiodynamic polarization curves of ORR at different speeds of the disk rotation. </w:t>
      </w:r>
    </w:p>
    <w:p w14:paraId="465C2BF8" w14:textId="63149A96" w:rsidR="005A7159" w:rsidRPr="005A7159" w:rsidRDefault="005A7159" w:rsidP="0009045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Cs/>
          <w:sz w:val="24"/>
          <w:szCs w:val="24"/>
          <w:lang w:val="en-US"/>
        </w:rPr>
      </w:pPr>
      <w:r w:rsidRPr="005A7159">
        <w:rPr>
          <w:rFonts w:ascii="Times New Roman" w:hAnsi="Times New Roman" w:cs="Times New Roman"/>
          <w:iCs/>
          <w:sz w:val="24"/>
          <w:szCs w:val="24"/>
          <w:lang w:val="en-US"/>
        </w:rPr>
        <w:t>0.1 M HClO</w:t>
      </w:r>
      <w:r w:rsidRPr="005A7159">
        <w:rPr>
          <w:rFonts w:ascii="Times New Roman" w:hAnsi="Times New Roman" w:cs="Times New Roman"/>
          <w:iCs/>
          <w:sz w:val="24"/>
          <w:szCs w:val="24"/>
          <w:vertAlign w:val="subscript"/>
          <w:lang w:val="en-US"/>
        </w:rPr>
        <w:t>4</w:t>
      </w:r>
      <w:r w:rsidRPr="005A7159">
        <w:rPr>
          <w:rFonts w:ascii="Times New Roman" w:hAnsi="Times New Roman" w:cs="Times New Roman"/>
          <w:iCs/>
          <w:sz w:val="24"/>
          <w:szCs w:val="24"/>
          <w:lang w:val="en-US"/>
        </w:rPr>
        <w:t>. O</w:t>
      </w:r>
      <w:r w:rsidRPr="005A7159">
        <w:rPr>
          <w:rFonts w:ascii="Times New Roman" w:hAnsi="Times New Roman" w:cs="Times New Roman"/>
          <w:iCs/>
          <w:sz w:val="24"/>
          <w:szCs w:val="24"/>
          <w:vertAlign w:val="subscript"/>
          <w:lang w:val="en-US"/>
        </w:rPr>
        <w:t>2</w:t>
      </w:r>
      <w:r w:rsidRPr="005A715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atmosphere. Potential </w:t>
      </w:r>
      <w:r w:rsidRPr="005A7159">
        <w:rPr>
          <w:rFonts w:ascii="Times New Roman" w:hAnsi="Times New Roman" w:cs="Times New Roman"/>
          <w:sz w:val="24"/>
          <w:szCs w:val="24"/>
          <w:lang w:val="en-US"/>
        </w:rPr>
        <w:t>speed rate is 20 mV s</w:t>
      </w:r>
      <w:r w:rsidRPr="005A715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</w:t>
      </w:r>
      <w:r w:rsidRPr="005A7159">
        <w:rPr>
          <w:rFonts w:ascii="Times New Roman" w:hAnsi="Times New Roman" w:cs="Times New Roman"/>
          <w:sz w:val="24"/>
          <w:szCs w:val="24"/>
          <w:lang w:val="en-US"/>
        </w:rPr>
        <w:t>1.</w:t>
      </w:r>
    </w:p>
    <w:p w14:paraId="590FA208" w14:textId="77777777" w:rsidR="005A7159" w:rsidRPr="005A7159" w:rsidRDefault="005A7159" w:rsidP="00090455">
      <w:pPr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val="en-US"/>
        </w:rPr>
      </w:pPr>
    </w:p>
    <w:p w14:paraId="47C7FE0C" w14:textId="77777777" w:rsidR="005A7159" w:rsidRPr="005A7159" w:rsidRDefault="005A7159" w:rsidP="00090455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  <w:r w:rsidRPr="005A7159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Evaluation of the degradation degree of electrocatalysts in the process of multiple cycling</w:t>
      </w:r>
    </w:p>
    <w:p w14:paraId="5E69F6D6" w14:textId="77777777" w:rsidR="005A7159" w:rsidRPr="005A7159" w:rsidRDefault="005A7159" w:rsidP="0009045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5A7159">
        <w:rPr>
          <w:rFonts w:ascii="Times New Roman" w:hAnsi="Times New Roman" w:cs="Times New Roman"/>
          <w:sz w:val="24"/>
          <w:szCs w:val="24"/>
          <w:lang w:val="en-US" w:eastAsia="ru-RU"/>
        </w:rPr>
        <w:t>Stability was assessed by the ratio of platinum ESA values after (ESA</w:t>
      </w:r>
      <w:r w:rsidRPr="005A7159">
        <w:rPr>
          <w:rFonts w:ascii="Times New Roman" w:hAnsi="Times New Roman" w:cs="Times New Roman"/>
          <w:sz w:val="24"/>
          <w:szCs w:val="24"/>
          <w:vertAlign w:val="subscript"/>
          <w:lang w:val="en-US" w:eastAsia="ru-RU"/>
        </w:rPr>
        <w:t>j</w:t>
      </w:r>
      <w:r w:rsidRPr="005A7159">
        <w:rPr>
          <w:rFonts w:ascii="Times New Roman" w:hAnsi="Times New Roman" w:cs="Times New Roman"/>
          <w:sz w:val="24"/>
          <w:szCs w:val="24"/>
          <w:lang w:val="en-US" w:eastAsia="ru-RU"/>
        </w:rPr>
        <w:t>) and before (ESA</w:t>
      </w:r>
      <w:r w:rsidRPr="005A7159">
        <w:rPr>
          <w:rFonts w:ascii="Times New Roman" w:hAnsi="Times New Roman" w:cs="Times New Roman"/>
          <w:sz w:val="24"/>
          <w:szCs w:val="24"/>
          <w:vertAlign w:val="subscript"/>
          <w:lang w:val="en-US" w:eastAsia="ru-RU"/>
        </w:rPr>
        <w:t>0</w:t>
      </w:r>
      <w:r w:rsidRPr="005A7159">
        <w:rPr>
          <w:rFonts w:ascii="Times New Roman" w:hAnsi="Times New Roman" w:cs="Times New Roman"/>
          <w:sz w:val="24"/>
          <w:szCs w:val="24"/>
          <w:lang w:val="en-US" w:eastAsia="ru-RU"/>
        </w:rPr>
        <w:t>) stress test using the formula:</w:t>
      </w:r>
    </w:p>
    <w:p w14:paraId="222F5FD6" w14:textId="01D8ABB3" w:rsidR="005A7159" w:rsidRPr="005A7159" w:rsidRDefault="005A7159" w:rsidP="0009045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5A7159">
        <w:rPr>
          <w:rFonts w:ascii="Times New Roman" w:hAnsi="Times New Roman" w:cs="Times New Roman"/>
          <w:sz w:val="24"/>
          <w:szCs w:val="24"/>
          <w:lang w:val="en-US" w:eastAsia="ru-RU"/>
        </w:rPr>
        <w:lastRenderedPageBreak/>
        <w:t>Stability = (ESA</w:t>
      </w:r>
      <w:r w:rsidRPr="005A7159">
        <w:rPr>
          <w:rFonts w:ascii="Times New Roman" w:hAnsi="Times New Roman" w:cs="Times New Roman"/>
          <w:sz w:val="24"/>
          <w:szCs w:val="24"/>
          <w:vertAlign w:val="subscript"/>
          <w:lang w:val="en-US" w:eastAsia="ru-RU"/>
        </w:rPr>
        <w:t>j</w:t>
      </w:r>
      <w:r w:rsidRPr="005A7159">
        <w:rPr>
          <w:rFonts w:ascii="Times New Roman" w:hAnsi="Times New Roman" w:cs="Times New Roman"/>
          <w:sz w:val="24"/>
          <w:szCs w:val="24"/>
          <w:lang w:val="en-US" w:eastAsia="ru-RU"/>
        </w:rPr>
        <w:t>/ESA</w:t>
      </w:r>
      <w:r w:rsidRPr="005A7159">
        <w:rPr>
          <w:rFonts w:ascii="Times New Roman" w:hAnsi="Times New Roman" w:cs="Times New Roman"/>
          <w:sz w:val="24"/>
          <w:szCs w:val="24"/>
          <w:vertAlign w:val="subscript"/>
          <w:lang w:val="en-US" w:eastAsia="ru-RU"/>
        </w:rPr>
        <w:t>0</w:t>
      </w:r>
      <w:r w:rsidRPr="005A7159">
        <w:rPr>
          <w:rFonts w:ascii="Times New Roman" w:hAnsi="Times New Roman" w:cs="Times New Roman"/>
          <w:sz w:val="24"/>
          <w:szCs w:val="24"/>
          <w:lang w:val="en-US" w:eastAsia="ru-RU"/>
        </w:rPr>
        <w:t>) * 100%</w:t>
      </w:r>
      <w:r w:rsidR="00541D0D">
        <w:rPr>
          <w:rFonts w:ascii="Times New Roman" w:hAnsi="Times New Roman" w:cs="Times New Roman"/>
          <w:sz w:val="24"/>
          <w:szCs w:val="24"/>
          <w:lang w:val="en-US" w:eastAsia="ru-RU"/>
        </w:rPr>
        <w:tab/>
      </w:r>
      <w:r w:rsidR="00541D0D">
        <w:rPr>
          <w:rFonts w:ascii="Times New Roman" w:hAnsi="Times New Roman" w:cs="Times New Roman"/>
          <w:sz w:val="24"/>
          <w:szCs w:val="24"/>
          <w:lang w:val="en-US" w:eastAsia="ru-RU"/>
        </w:rPr>
        <w:tab/>
      </w:r>
      <w:r w:rsidR="00541D0D">
        <w:rPr>
          <w:rFonts w:ascii="Times New Roman" w:hAnsi="Times New Roman" w:cs="Times New Roman"/>
          <w:sz w:val="24"/>
          <w:szCs w:val="24"/>
          <w:lang w:val="en-US" w:eastAsia="ru-RU"/>
        </w:rPr>
        <w:tab/>
      </w:r>
      <w:r w:rsidRPr="005A715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(5),</w:t>
      </w:r>
    </w:p>
    <w:p w14:paraId="0E7C6465" w14:textId="77777777" w:rsidR="005A7159" w:rsidRPr="005A7159" w:rsidRDefault="005A7159" w:rsidP="0009045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5A7159">
        <w:rPr>
          <w:rFonts w:ascii="Times New Roman" w:hAnsi="Times New Roman" w:cs="Times New Roman"/>
          <w:sz w:val="24"/>
          <w:szCs w:val="24"/>
          <w:lang w:val="en-US" w:eastAsia="ru-RU"/>
        </w:rPr>
        <w:t>where j is the number of potential sweep cycles carried out before a particular measurement of ESA.</w:t>
      </w:r>
    </w:p>
    <w:p w14:paraId="55242D63" w14:textId="77777777" w:rsidR="005A7159" w:rsidRPr="005A7159" w:rsidRDefault="005A7159" w:rsidP="0009045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5A7159">
        <w:rPr>
          <w:rFonts w:ascii="Times New Roman" w:hAnsi="Times New Roman" w:cs="Times New Roman"/>
          <w:sz w:val="24"/>
          <w:szCs w:val="24"/>
          <w:lang w:val="en-US" w:eastAsia="ru-RU"/>
        </w:rPr>
        <w:t>The degree of degradation (DD) was calculated using the formula:</w:t>
      </w:r>
    </w:p>
    <w:p w14:paraId="67EE1FBB" w14:textId="3BE4F176" w:rsidR="005A7159" w:rsidRPr="005A7159" w:rsidRDefault="005A7159" w:rsidP="0009045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5A7159">
        <w:rPr>
          <w:rFonts w:ascii="Times New Roman" w:hAnsi="Times New Roman" w:cs="Times New Roman"/>
          <w:sz w:val="24"/>
          <w:szCs w:val="24"/>
          <w:lang w:eastAsia="ru-RU"/>
        </w:rPr>
        <w:t>DD = (1 - ESA</w:t>
      </w:r>
      <w:r w:rsidRPr="005A7159">
        <w:rPr>
          <w:rFonts w:ascii="Times New Roman" w:hAnsi="Times New Roman" w:cs="Times New Roman"/>
          <w:sz w:val="24"/>
          <w:szCs w:val="24"/>
          <w:vertAlign w:val="subscript"/>
          <w:lang w:eastAsia="ru-RU"/>
        </w:rPr>
        <w:t>j</w:t>
      </w:r>
      <w:r w:rsidRPr="005A7159">
        <w:rPr>
          <w:rFonts w:ascii="Times New Roman" w:hAnsi="Times New Roman" w:cs="Times New Roman"/>
          <w:sz w:val="24"/>
          <w:szCs w:val="24"/>
          <w:lang w:eastAsia="ru-RU"/>
        </w:rPr>
        <w:t>/ESA</w:t>
      </w:r>
      <w:r w:rsidRPr="005A7159">
        <w:rPr>
          <w:rFonts w:ascii="Times New Roman" w:hAnsi="Times New Roman" w:cs="Times New Roman"/>
          <w:sz w:val="24"/>
          <w:szCs w:val="24"/>
          <w:vertAlign w:val="subscript"/>
          <w:lang w:eastAsia="ru-RU"/>
        </w:rPr>
        <w:t>0</w:t>
      </w:r>
      <w:r w:rsidRPr="005A7159">
        <w:rPr>
          <w:rFonts w:ascii="Times New Roman" w:hAnsi="Times New Roman" w:cs="Times New Roman"/>
          <w:sz w:val="24"/>
          <w:szCs w:val="24"/>
          <w:lang w:eastAsia="ru-RU"/>
        </w:rPr>
        <w:t>) * 100%</w:t>
      </w:r>
      <w:r w:rsidR="00541D0D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="00541D0D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="00541D0D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5A7159">
        <w:rPr>
          <w:rFonts w:ascii="Times New Roman" w:hAnsi="Times New Roman" w:cs="Times New Roman"/>
          <w:sz w:val="24"/>
          <w:szCs w:val="24"/>
          <w:lang w:eastAsia="ru-RU"/>
        </w:rPr>
        <w:t xml:space="preserve"> (7).</w:t>
      </w:r>
    </w:p>
    <w:p w14:paraId="354430EF" w14:textId="77777777" w:rsidR="005A7159" w:rsidRPr="005A7159" w:rsidRDefault="005A7159" w:rsidP="0009045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4161F29" w14:textId="77777777" w:rsidR="005A7159" w:rsidRPr="005A7159" w:rsidRDefault="005A7159" w:rsidP="00090455">
      <w:pPr>
        <w:spacing w:line="360" w:lineRule="auto"/>
        <w:rPr>
          <w:rFonts w:ascii="Times New Roman" w:hAnsi="Times New Roman" w:cs="Times New Roman"/>
          <w:noProof/>
          <w:sz w:val="24"/>
          <w:szCs w:val="24"/>
        </w:rPr>
      </w:pPr>
      <w:r w:rsidRPr="005A7159">
        <w:rPr>
          <w:noProof/>
        </w:rPr>
        <w:drawing>
          <wp:inline distT="0" distB="0" distL="0" distR="0" wp14:anchorId="4753B514" wp14:editId="7156A019">
            <wp:extent cx="6210300" cy="5252085"/>
            <wp:effectExtent l="0" t="0" r="0" b="571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5252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B635AC" w14:textId="41CE4FF0" w:rsidR="005A7159" w:rsidRPr="005A7159" w:rsidRDefault="005A7159" w:rsidP="00090455">
      <w:pPr>
        <w:spacing w:after="240" w:line="360" w:lineRule="auto"/>
        <w:ind w:firstLine="567"/>
        <w:jc w:val="center"/>
        <w:rPr>
          <w:b/>
          <w:bCs/>
          <w:color w:val="C00000"/>
          <w:lang w:eastAsia="ru-RU"/>
        </w:rPr>
      </w:pPr>
      <w:r w:rsidRPr="005A7159">
        <w:rPr>
          <w:rFonts w:ascii="Times New Roman" w:hAnsi="Times New Roman" w:cs="Times New Roman"/>
          <w:b/>
          <w:bCs/>
          <w:sz w:val="24"/>
          <w:szCs w:val="24"/>
          <w:lang w:val="en-US"/>
        </w:rPr>
        <w:t>Fig. S4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A7159">
        <w:rPr>
          <w:rFonts w:ascii="Times New Roman" w:hAnsi="Times New Roman" w:cs="Times New Roman"/>
          <w:sz w:val="24"/>
          <w:szCs w:val="24"/>
          <w:lang w:val="en-US"/>
        </w:rPr>
        <w:t>Potentiodynamic polarization curves of ORR before the start (black) and after completion (red) of stress testing. The rotation speed of the RDE is 1600 rpm. 0.1 M HClO</w:t>
      </w:r>
      <w:r w:rsidRPr="005A715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Pr="005A7159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5A7159">
        <w:rPr>
          <w:rFonts w:ascii="Times New Roman" w:hAnsi="Times New Roman" w:cs="Times New Roman"/>
          <w:sz w:val="24"/>
          <w:szCs w:val="24"/>
        </w:rPr>
        <w:t>O</w:t>
      </w:r>
      <w:r w:rsidRPr="005A715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5A7159">
        <w:rPr>
          <w:rFonts w:ascii="Times New Roman" w:hAnsi="Times New Roman" w:cs="Times New Roman"/>
          <w:sz w:val="24"/>
          <w:szCs w:val="24"/>
        </w:rPr>
        <w:t xml:space="preserve"> atmosphere. The potential sweep rate is 20 mV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A7159">
        <w:rPr>
          <w:rFonts w:ascii="Times New Roman" w:hAnsi="Times New Roman" w:cs="Times New Roman"/>
          <w:sz w:val="24"/>
          <w:szCs w:val="24"/>
        </w:rPr>
        <w:t>s</w:t>
      </w:r>
      <w:r w:rsidRPr="005A715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-1</w:t>
      </w:r>
      <w:r w:rsidRPr="005A7159">
        <w:rPr>
          <w:rFonts w:ascii="Times New Roman" w:hAnsi="Times New Roman" w:cs="Times New Roman"/>
          <w:sz w:val="24"/>
          <w:szCs w:val="24"/>
        </w:rPr>
        <w:t>.</w:t>
      </w:r>
    </w:p>
    <w:p w14:paraId="5E595E0F" w14:textId="24CB562D" w:rsidR="005A58B8" w:rsidRDefault="005A58B8" w:rsidP="00090455">
      <w:pPr>
        <w:spacing w:line="360" w:lineRule="auto"/>
      </w:pPr>
    </w:p>
    <w:p w14:paraId="27B5BC7D" w14:textId="020CCD79" w:rsidR="00B64A90" w:rsidRDefault="00B64A90" w:rsidP="00090455">
      <w:pPr>
        <w:spacing w:line="360" w:lineRule="auto"/>
      </w:pPr>
    </w:p>
    <w:p w14:paraId="40334810" w14:textId="77777777" w:rsidR="00B64A90" w:rsidRDefault="00B64A90" w:rsidP="00090455">
      <w:pPr>
        <w:spacing w:line="360" w:lineRule="auto"/>
      </w:pPr>
    </w:p>
    <w:sectPr w:rsidR="00B64A90" w:rsidSect="000B2534">
      <w:footerReference w:type="default" r:id="rId13"/>
      <w:pgSz w:w="11906" w:h="16838"/>
      <w:pgMar w:top="1134" w:right="850" w:bottom="993" w:left="1276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876978" w14:textId="77777777" w:rsidR="004C7675" w:rsidRDefault="004C7675">
      <w:pPr>
        <w:spacing w:after="0" w:line="240" w:lineRule="auto"/>
      </w:pPr>
      <w:r>
        <w:separator/>
      </w:r>
    </w:p>
  </w:endnote>
  <w:endnote w:type="continuationSeparator" w:id="0">
    <w:p w14:paraId="5F16706A" w14:textId="77777777" w:rsidR="004C7675" w:rsidRDefault="004C7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</w:rPr>
      <w:id w:val="-1957935656"/>
      <w:docPartObj>
        <w:docPartGallery w:val="Page Numbers (Bottom of Page)"/>
        <w:docPartUnique/>
      </w:docPartObj>
    </w:sdtPr>
    <w:sdtEndPr/>
    <w:sdtContent>
      <w:p w14:paraId="2348C523" w14:textId="77777777" w:rsidR="00B41358" w:rsidRPr="00B41358" w:rsidRDefault="00B64A90">
        <w:pPr>
          <w:pStyle w:val="a3"/>
          <w:jc w:val="center"/>
          <w:rPr>
            <w:rFonts w:ascii="Times New Roman" w:hAnsi="Times New Roman" w:cs="Times New Roman"/>
          </w:rPr>
        </w:pPr>
        <w:r w:rsidRPr="00B41358">
          <w:rPr>
            <w:rFonts w:ascii="Times New Roman" w:hAnsi="Times New Roman" w:cs="Times New Roman"/>
          </w:rPr>
          <w:fldChar w:fldCharType="begin"/>
        </w:r>
        <w:r w:rsidRPr="00B41358">
          <w:rPr>
            <w:rFonts w:ascii="Times New Roman" w:hAnsi="Times New Roman" w:cs="Times New Roman"/>
          </w:rPr>
          <w:instrText>PAGE   \* MERGEFORMAT</w:instrText>
        </w:r>
        <w:r w:rsidRPr="00B41358">
          <w:rPr>
            <w:rFonts w:ascii="Times New Roman" w:hAnsi="Times New Roman" w:cs="Times New Roman"/>
          </w:rPr>
          <w:fldChar w:fldCharType="separate"/>
        </w:r>
        <w:r w:rsidRPr="00B41358">
          <w:rPr>
            <w:rFonts w:ascii="Times New Roman" w:hAnsi="Times New Roman" w:cs="Times New Roman"/>
          </w:rPr>
          <w:t>2</w:t>
        </w:r>
        <w:r w:rsidRPr="00B41358">
          <w:rPr>
            <w:rFonts w:ascii="Times New Roman" w:hAnsi="Times New Roman" w:cs="Times New Roman"/>
          </w:rPr>
          <w:fldChar w:fldCharType="end"/>
        </w:r>
      </w:p>
    </w:sdtContent>
  </w:sdt>
  <w:p w14:paraId="39BF927A" w14:textId="77777777" w:rsidR="00AF72F9" w:rsidRPr="00B41358" w:rsidRDefault="004C7675">
    <w:pPr>
      <w:pStyle w:val="a3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C70788" w14:textId="77777777" w:rsidR="004C7675" w:rsidRDefault="004C7675">
      <w:pPr>
        <w:spacing w:after="0" w:line="240" w:lineRule="auto"/>
      </w:pPr>
      <w:r>
        <w:separator/>
      </w:r>
    </w:p>
  </w:footnote>
  <w:footnote w:type="continuationSeparator" w:id="0">
    <w:p w14:paraId="460FCAF1" w14:textId="77777777" w:rsidR="004C7675" w:rsidRDefault="004C7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23F30"/>
    <w:multiLevelType w:val="hybridMultilevel"/>
    <w:tmpl w:val="EF3C6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159"/>
    <w:rsid w:val="00090455"/>
    <w:rsid w:val="004C7675"/>
    <w:rsid w:val="00541D0D"/>
    <w:rsid w:val="0055356A"/>
    <w:rsid w:val="005A58B8"/>
    <w:rsid w:val="005A7159"/>
    <w:rsid w:val="00844DFC"/>
    <w:rsid w:val="00A402BA"/>
    <w:rsid w:val="00AB43F9"/>
    <w:rsid w:val="00AD6AC2"/>
    <w:rsid w:val="00B149E5"/>
    <w:rsid w:val="00B64A90"/>
    <w:rsid w:val="00ED47E8"/>
    <w:rsid w:val="00F0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2BD20"/>
  <w15:chartTrackingRefBased/>
  <w15:docId w15:val="{DB12B73B-DB5A-49F4-9A5F-FA99C01C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5A71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5A7159"/>
  </w:style>
  <w:style w:type="character" w:styleId="a5">
    <w:name w:val="Hyperlink"/>
    <w:basedOn w:val="a0"/>
    <w:uiPriority w:val="99"/>
    <w:unhideWhenUsed/>
    <w:rsid w:val="00AB43F9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B43F9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B64A9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uter@sfedu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ut57@mail.ru" TargetMode="External"/><Relationship Id="rId12" Type="http://schemas.openxmlformats.org/officeDocument/2006/relationships/image" Target="media/image4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tif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tiff"/><Relationship Id="rId4" Type="http://schemas.openxmlformats.org/officeDocument/2006/relationships/webSettings" Target="webSettings.xml"/><Relationship Id="rId9" Type="http://schemas.openxmlformats.org/officeDocument/2006/relationships/image" Target="media/image1.tif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842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Алексеенко Анастасия Анатольевна</dc:creator>
  <cp:keywords/>
  <dc:description/>
  <cp:lastModifiedBy>Гутерман Владимир Ефимович</cp:lastModifiedBy>
  <cp:revision>3</cp:revision>
  <dcterms:created xsi:type="dcterms:W3CDTF">2021-03-18T23:16:00Z</dcterms:created>
  <dcterms:modified xsi:type="dcterms:W3CDTF">2021-03-19T18:53:00Z</dcterms:modified>
</cp:coreProperties>
</file>